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mp" ContentType="image/bmp"/>
  <Default Extension="emf" ContentType="image/x-emf"/>
  <Default Extension="wmf" ContentType="image/x-wmf"/>
  <Default Extension="gif" ContentType="image/gif"/>
  <Default Extension="ico" ContentType="image/x-icon"/>
  <Default Extension="tif" ContentType="image/tiff"/>
  <Default Extension="tiff" ContentType="image/tiff"/>
  <Default Extension="jpeg" ContentType="image/jpeg"/>
  <Default Extension="jpg" ContentType="image/jpeg"/>
  <Default Extension="svg" ContentType="image/svg+xml"/>
  <Override PartName="/word/document.xml" ContentType="application/vnd.openxmlformats-officedocument.wordprocessingml.document.main+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aink="http://schemas.microsoft.com/office/drawing/2016/ink" xmlns:am3d="http://schemas.microsoft.com/office/drawing/2017/model3d" xmlns:w16cex="http://schemas.microsoft.com/office/word/2018/wordml/cex" xmlns:w16cid="http://schemas.microsoft.com/office/word/2016/wordml/cid" xmlns:w16sdtdh="http://schemas.microsoft.com/office/word/2020/wordml/sdtdatahash" xmlns:w16se="http://schemas.microsoft.com/office/word/2015/wordml/symex" xmlns:w16="http://schemas.microsoft.com/office/word/2018/wordml" xmlns:c="http://schemas.openxmlformats.org/drawingml/2006/chart" mc:Ignorable="w14 w15 w16se w16cid w16 w16cex w16sdtdh wp14">
  <w:body>
    <w:p w14:paraId="27636A91">
      <w:pPr>
        <w:tabs>
          <w:tab w:val="left" w:pos="7425"/>
        </w:tabs>
        <w:spacing/>
        <w:jc w:val="center"/>
        <w:rPr>
          <w:rFonts w:ascii="Calibri" w:hAnsi="Calibri" w:cs="Calibri"/>
          <w:b/>
          <w:bCs/>
          <w:sz w:val="32"/>
          <w:szCs w:val="32"/>
          <w:u w:val="single"/>
          <w:lang w:val="da-DK"/>
        </w:rPr>
      </w:pPr>
      <w:r>
        <w:rPr>
          <w:rFonts w:ascii="Calibri" w:hAnsi="Calibri" w:cs="Calibri"/>
          <w:b/>
          <w:bCs/>
          <w:sz w:val="32"/>
          <w:szCs w:val="32"/>
          <w:u w:val="single"/>
          <w:lang w:val="da-DK"/>
        </w:rPr>
        <w:t xml:space="preserve">Tamtron AS Salgs- og leveringsbetingelser</w:t>
      </w:r>
    </w:p>
    <w:p w14:paraId="2BFC1505">
      <w:pPr>
        <w:tabs>
          <w:tab w:val="left" w:pos="7425"/>
        </w:tabs>
        <w:spacing/>
        <w:rPr>
          <w:rFonts w:cs="Calibri"/>
          <w:b/>
          <w:bCs/>
          <w:sz w:val="20"/>
          <w:szCs w:val="20"/>
        </w:rPr>
      </w:pPr>
      <w:r>
        <w:rPr>
          <w:rFonts w:cs="Calibri"/>
          <w:b/>
          <w:bCs/>
          <w:sz w:val="20"/>
          <w:szCs w:val="20"/>
        </w:rPr>
        <w:t xml:space="preserve">Generelt</w:t>
      </w:r>
    </w:p>
    <w:p w14:paraId="00BF1A37">
      <w:pPr>
        <w:tabs>
          <w:tab w:val="left" w:pos="7425"/>
        </w:tabs>
        <w:spacing/>
        <w:rPr>
          <w:rFonts w:cs="Calibri"/>
          <w:sz w:val="20"/>
          <w:szCs w:val="20"/>
        </w:rPr>
      </w:pPr>
      <w:r>
        <w:rPr>
          <w:rFonts w:cs="Calibri"/>
          <w:sz w:val="20"/>
          <w:szCs w:val="20"/>
        </w:rPr>
        <w:t xml:space="preserve">For alle våre salgsavtaler gjelder utelukkende nedenstående betingelser, såfremt det ikke berører ufravikelige lovbestemmelser. Kjøpers egne innkjøpsbetingelser forplikter oss ikke, med mindre annet er avtalt og skriftlig bekreftet av oss. Tamtron AS har administrasjonsgebyr på utgående fakturaer.</w:t>
      </w:r>
    </w:p>
    <w:p w14:paraId="3E5D68B4">
      <w:pPr>
        <w:tabs>
          <w:tab w:val="left" w:pos="7425"/>
        </w:tabs>
        <w:spacing/>
        <w:rPr>
          <w:rFonts w:cs="Calibri"/>
          <w:b/>
          <w:bCs/>
          <w:sz w:val="20"/>
          <w:szCs w:val="20"/>
        </w:rPr>
      </w:pPr>
      <w:r>
        <w:rPr>
          <w:rFonts w:cs="Calibri"/>
          <w:b/>
          <w:bCs/>
          <w:sz w:val="20"/>
          <w:szCs w:val="20"/>
        </w:rPr>
        <w:t xml:space="preserve">Produktinformasjon</w:t>
      </w:r>
    </w:p>
    <w:p w14:paraId="20868820">
      <w:pPr>
        <w:tabs>
          <w:tab w:val="left" w:pos="7425"/>
        </w:tabs>
        <w:spacing/>
        <w:rPr>
          <w:rFonts w:cs="Calibri"/>
          <w:sz w:val="20"/>
          <w:szCs w:val="20"/>
        </w:rPr>
      </w:pPr>
      <w:r>
        <w:rPr>
          <w:rFonts w:cs="Calibri"/>
          <w:sz w:val="20"/>
          <w:szCs w:val="20"/>
        </w:rPr>
        <w:t xml:space="preserve">Alle opplysninger om vekt, dimensjoner og kvalitet samt teknisk og andre data, som fremgår av kataloger og brosjyrer er veiledende, og kun bindende i det omfang slike opplysninger inngår som en del av en avtale bekreftet av oss.</w:t>
      </w:r>
    </w:p>
    <w:p w14:paraId="6421048C">
      <w:pPr>
        <w:tabs>
          <w:tab w:val="left" w:pos="7425"/>
        </w:tabs>
        <w:spacing/>
        <w:rPr>
          <w:rFonts w:cs="Calibri"/>
          <w:b/>
          <w:bCs/>
          <w:sz w:val="20"/>
          <w:szCs w:val="20"/>
        </w:rPr>
      </w:pPr>
      <w:r>
        <w:rPr>
          <w:rFonts w:cs="Calibri"/>
          <w:b/>
          <w:bCs/>
          <w:sz w:val="20"/>
          <w:szCs w:val="20"/>
        </w:rPr>
        <w:t xml:space="preserve">Kvalitet / utførelse</w:t>
      </w:r>
    </w:p>
    <w:p w14:paraId="61B84F4A">
      <w:pPr>
        <w:tabs>
          <w:tab w:val="left" w:pos="7425"/>
        </w:tabs>
        <w:spacing/>
        <w:rPr>
          <w:rFonts w:cs="Calibri"/>
          <w:sz w:val="20"/>
          <w:szCs w:val="20"/>
        </w:rPr>
      </w:pPr>
      <w:r>
        <w:rPr>
          <w:rFonts w:cs="Calibri"/>
          <w:sz w:val="20"/>
          <w:szCs w:val="20"/>
        </w:rPr>
        <w:t xml:space="preserve">Kjøper bærer selv ansvaret for at tekniske spesifikasjoner og materialet i sin helhet egner seg til deres behov. Er materialet ikke bestilt etter en standard eller med angitt kvalitetsbetegnelse, vil dette bli levert i vanlig handelskvalitet og utførelse uten ansvar for spesielle kvalitetskrav.</w:t>
      </w:r>
    </w:p>
    <w:p w14:paraId="76C6C151">
      <w:pPr>
        <w:tabs>
          <w:tab w:val="left" w:pos="7425"/>
        </w:tabs>
        <w:spacing/>
        <w:rPr>
          <w:rFonts w:cs="Calibri"/>
          <w:b/>
          <w:bCs/>
          <w:sz w:val="20"/>
          <w:szCs w:val="20"/>
        </w:rPr>
      </w:pPr>
      <w:r>
        <w:rPr>
          <w:rFonts w:cs="Calibri"/>
          <w:b/>
          <w:bCs/>
          <w:sz w:val="20"/>
          <w:szCs w:val="20"/>
        </w:rPr>
        <w:t xml:space="preserve">Nettverksforbindelse – ansvarsbegrensning</w:t>
      </w:r>
    </w:p>
    <w:p w14:paraId="41F32ECC">
      <w:pPr>
        <w:tabs>
          <w:tab w:val="left" w:pos="7425"/>
        </w:tabs>
        <w:spacing/>
        <w:rPr>
          <w:rFonts w:cs="Calibri"/>
          <w:sz w:val="20"/>
          <w:szCs w:val="20"/>
        </w:rPr>
      </w:pPr>
      <w:r>
        <w:rPr>
          <w:rFonts w:cs="Calibri"/>
          <w:sz w:val="20"/>
          <w:szCs w:val="20"/>
        </w:rPr>
        <w:t xml:space="preserve">Noen av våre produkter forutsetter tilgang til et stabilt nettverk for å kunne fungere som tiltenkt. Vi gjør oppmerksom på at konfigurering, tilrettelegging og drift av kundenes interne nettverk og tilhørende sikkerhetsinnstillinger (brannmur, VPN, proxy etc) ligger utenfor Tamtron AS sitt ansvarsområde. Kunden er selv ansvarlig for at det nettverk produktet kobles til fungerer tilfredsstillende og er kompatibelt med produktenes tekniske krav. Tamtron AS fraskriver seg ethvert ansvar for feil, manglende fun</w:t>
      </w:r>
      <w:r>
        <w:rPr>
          <w:rFonts w:cs="Calibri"/>
          <w:sz w:val="20"/>
          <w:szCs w:val="20"/>
        </w:rPr>
        <w:t xml:space="preserve">ksjonalitet eller redusert ytelse som skyldes nettverksproblemer, utilstrekkelig kapasitet, feilkonfigurasjon eller andre forhold knyttet til kundens egen nettverksinfrastruktur. Tamtron AS kan bistå med veiledning ved behov, men kan ikke garantere at produktet vil fungere i kundens eksisterende nettverksmiljø, eller ta ansvar for eventuelle tilpasninger som måtte kreves i kundens egne systemer.</w:t>
      </w:r>
    </w:p>
    <w:p w14:paraId="29571104">
      <w:pPr>
        <w:tabs>
          <w:tab w:val="left" w:pos="7425"/>
        </w:tabs>
        <w:spacing/>
        <w:rPr>
          <w:rFonts w:cs="Calibri"/>
          <w:b/>
          <w:bCs/>
          <w:sz w:val="20"/>
          <w:szCs w:val="20"/>
        </w:rPr>
      </w:pPr>
      <w:r>
        <w:rPr>
          <w:rFonts w:cs="Calibri"/>
          <w:b/>
          <w:bCs/>
          <w:sz w:val="20"/>
          <w:szCs w:val="20"/>
        </w:rPr>
        <w:t xml:space="preserve">Garanti / Reklamasjon</w:t>
      </w:r>
    </w:p>
    <w:p w14:paraId="0C34962E">
      <w:pPr>
        <w:tabs>
          <w:tab w:val="left" w:pos="7425"/>
        </w:tabs>
        <w:spacing/>
        <w:rPr>
          <w:rFonts w:cs="Calibri"/>
          <w:sz w:val="20"/>
          <w:szCs w:val="20"/>
        </w:rPr>
      </w:pPr>
      <w:r>
        <w:rPr>
          <w:rFonts w:cs="Calibri"/>
          <w:sz w:val="20"/>
          <w:szCs w:val="20"/>
        </w:rPr>
        <w:t xml:space="preserve">Tamtron AS yter i utgangspunktet 12 måneder produktgaranti på nye varer, dersom ikke annet er skriftlig avtalt. Demovekter og annet brukt utstyr har andre garanti betingelser. Det kan ytes utvidet garanti etter nærmere avtale. For øvrig gjelder reklamasjonsreglene i Kjøpsloven §32. I forbindelse med service og reparasjoner er garantiperiode på reservedeler og arbeid 3 måneder fra installasjonstidspunkt. Dersom plomberinger blir brutt oppheves all gjeldende garanti fra Tamtron AS sin side. Garantien gjelder </w:t>
      </w:r>
      <w:r>
        <w:rPr>
          <w:rFonts w:cs="Calibri"/>
          <w:sz w:val="20"/>
          <w:szCs w:val="20"/>
        </w:rPr>
        <w:t xml:space="preserve">kun produkter, for øvrige kostnader slik som arbeid ved utskifting, frakter, justergebyrer etc dekkes dette ikke av garantien. Det påhviler kjøper å undersøke varen straks etter mottak. Dersom kjøper vil </w:t>
      </w:r>
      <w:r>
        <w:rPr>
          <w:rFonts w:cs="Calibri"/>
          <w:sz w:val="20"/>
          <w:szCs w:val="20"/>
        </w:rPr>
        <w:t xml:space="preserve">påberope seg</w:t>
      </w:r>
      <w:r>
        <w:rPr>
          <w:rFonts w:cs="Calibri"/>
          <w:sz w:val="20"/>
          <w:szCs w:val="20"/>
        </w:rPr>
        <w:t xml:space="preserve"> at leveransen er utilstrekkelig eller beheftet med feil, skal det senest 8 dager etter levering reklameres skriftlig pr epost til kontaktperson eller epost adresse; </w:t>
      </w:r>
      <w:r>
        <w:rPr/>
        <w:fldChar w:fldCharType="begin"/>
      </w:r>
      <w:r>
        <w:rPr/>
        <w:instrText xml:space="preserve">HYPERLINK "mailto:post@tamtron.no" </w:instrText>
      </w:r>
      <w:r>
        <w:rPr/>
        <w:fldChar w:fldCharType="separate"/>
      </w:r>
      <w:r>
        <w:rPr>
          <w:rStyle w:val="Hyperkobling"/>
          <w:rFonts w:cs="Calibri"/>
          <w:sz w:val="20"/>
          <w:szCs w:val="20"/>
        </w:rPr>
        <w:t xml:space="preserve">post@tamtron.no</w:t>
      </w:r>
      <w:r>
        <w:rPr/>
        <w:fldChar w:fldCharType="end"/>
      </w:r>
    </w:p>
    <w:p w14:paraId="58722060">
      <w:pPr>
        <w:tabs>
          <w:tab w:val="left" w:pos="7425"/>
        </w:tabs>
        <w:spacing/>
        <w:rPr>
          <w:rFonts w:cs="Calibri"/>
          <w:sz w:val="20"/>
          <w:szCs w:val="20"/>
        </w:rPr>
      </w:pPr>
      <w:r>
        <w:rPr>
          <w:rFonts w:cs="Calibri"/>
          <w:sz w:val="20"/>
          <w:szCs w:val="20"/>
        </w:rPr>
        <w:t xml:space="preserve">Under forutsetning av godkjent reklamasjon erstattes den leverte varen med enten ny vare, eller godtgjørelse ved kreditering til kjøpspris etter vårt salg. Tamtron AS påtar seg ikke erstatning for driftstap, tapt arbeidsfortjeneste eller annet indirekte tap for kunden. Tamtron AS aksepterer ikke krav om erstatning for skader som forvoldes av de leverte varers egenskaper.</w:t>
      </w:r>
    </w:p>
    <w:p w14:paraId="2D50EF86">
      <w:pPr>
        <w:tabs>
          <w:tab w:val="left" w:pos="7425"/>
        </w:tabs>
        <w:spacing/>
        <w:rPr>
          <w:rFonts w:cs="Calibri"/>
          <w:b/>
          <w:bCs/>
          <w:sz w:val="20"/>
          <w:szCs w:val="20"/>
        </w:rPr>
      </w:pPr>
      <w:r>
        <w:rPr>
          <w:rFonts w:cs="Calibri"/>
          <w:b/>
          <w:bCs/>
          <w:sz w:val="20"/>
          <w:szCs w:val="20"/>
        </w:rPr>
        <w:t xml:space="preserve">Retur</w:t>
      </w:r>
    </w:p>
    <w:p w14:paraId="1501A9B2">
      <w:pPr>
        <w:tabs>
          <w:tab w:val="left" w:pos="7425"/>
        </w:tabs>
        <w:spacing/>
        <w:rPr>
          <w:rFonts w:cs="Calibri"/>
          <w:sz w:val="20"/>
          <w:szCs w:val="20"/>
        </w:rPr>
      </w:pPr>
      <w:r>
        <w:rPr>
          <w:rFonts w:cs="Calibri"/>
          <w:sz w:val="20"/>
          <w:szCs w:val="20"/>
        </w:rPr>
        <w:t xml:space="preserve">Returnering av feilbestilte varer kan kun skje etter forutgående avtale med Tamtron AS, og ikke senere enn 8 dager etter levering. Såfremt vi aksepterer retur, vil kundens faktura krediteres med et fratrekk på 15% til dekning av våre omkostninger. Unntaket er feilekspedering fra Tamtron AS sin side eller reklamasjonsberettigende varer, som er beskrevet under punktet </w:t>
      </w:r>
      <w:r>
        <w:rPr>
          <w:rFonts w:cs="Calibri"/>
          <w:b/>
          <w:bCs/>
          <w:sz w:val="20"/>
          <w:szCs w:val="20"/>
        </w:rPr>
        <w:t xml:space="preserve">Garanti/reklamasjon. </w:t>
      </w:r>
      <w:r>
        <w:rPr>
          <w:rFonts w:cs="Calibri"/>
          <w:sz w:val="20"/>
          <w:szCs w:val="20"/>
        </w:rPr>
        <w:t xml:space="preserve">Det er en </w:t>
      </w:r>
      <w:r>
        <w:rPr>
          <w:rFonts w:cs="Calibri"/>
          <w:sz w:val="20"/>
          <w:szCs w:val="20"/>
        </w:rPr>
        <w:t xml:space="preserve">betingelse for kreditering av returnerte varer at disse varene er i ubeskadiget stand, ingen tegn til bruk og/eller slitasje, samt at de emballeres forsvarlig i originalemballasjen.</w:t>
      </w:r>
    </w:p>
    <w:p w14:paraId="7BD7C61C">
      <w:pPr>
        <w:tabs>
          <w:tab w:val="left" w:pos="7425"/>
        </w:tabs>
        <w:spacing/>
        <w:rPr>
          <w:rFonts w:cs="Calibri"/>
          <w:b/>
          <w:bCs/>
          <w:sz w:val="20"/>
          <w:szCs w:val="20"/>
        </w:rPr>
      </w:pPr>
      <w:r>
        <w:rPr>
          <w:rFonts w:cs="Calibri"/>
          <w:b/>
          <w:bCs/>
          <w:sz w:val="20"/>
          <w:szCs w:val="20"/>
        </w:rPr>
        <w:t xml:space="preserve">Avbestilling</w:t>
      </w:r>
    </w:p>
    <w:p w14:paraId="1FD82612">
      <w:pPr>
        <w:tabs>
          <w:tab w:val="left" w:pos="7425"/>
        </w:tabs>
        <w:spacing/>
        <w:rPr>
          <w:rFonts w:cs="Calibri"/>
          <w:sz w:val="20"/>
          <w:szCs w:val="20"/>
        </w:rPr>
      </w:pPr>
      <w:r>
        <w:rPr>
          <w:rFonts w:cs="Calibri"/>
          <w:sz w:val="20"/>
          <w:szCs w:val="20"/>
        </w:rPr>
        <w:t xml:space="preserve">Avbestilling av en ordre skal skje skriftlig til Tamtron AS, og er ikke bindende for Tamtron AS før den er skriftlig bekreftet av oss. Avbestilling anses ikke som reklamasjon.</w:t>
      </w:r>
    </w:p>
    <w:p w14:paraId="42394ACB">
      <w:pPr>
        <w:tabs>
          <w:tab w:val="left" w:pos="7425"/>
        </w:tabs>
        <w:spacing/>
        <w:rPr>
          <w:rFonts w:cs="Calibri"/>
          <w:sz w:val="20"/>
          <w:szCs w:val="20"/>
        </w:rPr>
      </w:pPr>
      <w:r>
        <w:rPr>
          <w:rFonts w:cs="Calibri"/>
          <w:b/>
          <w:bCs/>
          <w:sz w:val="20"/>
          <w:szCs w:val="20"/>
        </w:rPr>
        <w:t xml:space="preserve">Standardvarer. </w:t>
      </w:r>
      <w:r>
        <w:rPr>
          <w:rFonts w:cs="Calibri"/>
          <w:sz w:val="20"/>
          <w:szCs w:val="20"/>
        </w:rPr>
        <w:t xml:space="preserve">Lagerførte standardvarer kan avbestilles frem til varen er sendt fra Tamtron AS eller fra vår underleverandør. Ved avbestilling skal kjøper erstatte Tamtron AS sine dokumenterte kostnader og tap som følge av avbestillingen, herunder, men ikke begrenset til: påløpt frakt og eventuell returfrakt, bestillings-, håndterings- og lagerkostnader, avbestillingsgebyr, restokkingsgebyr eller andre krav rettet mot oss fra produsent, leverandør eller underleverandør, allerede utført arbeid, prosjektering, konfigurering</w:t>
      </w:r>
      <w:r>
        <w:rPr>
          <w:rFonts w:cs="Calibri"/>
          <w:sz w:val="20"/>
          <w:szCs w:val="20"/>
        </w:rPr>
        <w:t xml:space="preserve"> og teknisk bistand, samt reise, reisetid, opphold og øvrige kostnader våre teknikere har hatt. Er varen levert, gjelder punktet Retur.</w:t>
      </w:r>
    </w:p>
    <w:p w14:paraId="2AF727D0">
      <w:pPr>
        <w:tabs>
          <w:tab w:val="left" w:pos="7425"/>
        </w:tabs>
        <w:spacing/>
        <w:rPr>
          <w:rFonts w:cs="Calibri"/>
          <w:sz w:val="20"/>
          <w:szCs w:val="20"/>
        </w:rPr>
      </w:pPr>
      <w:r>
        <w:rPr>
          <w:rFonts w:cs="Calibri"/>
          <w:b/>
          <w:bCs/>
          <w:sz w:val="20"/>
          <w:szCs w:val="20"/>
        </w:rPr>
        <w:t xml:space="preserve">Varer bestilt eller produsert etter kjøpers spesifikasjon. </w:t>
      </w:r>
      <w:r>
        <w:rPr>
          <w:rFonts w:cs="Calibri"/>
          <w:sz w:val="20"/>
          <w:szCs w:val="20"/>
        </w:rPr>
        <w:t xml:space="preserve">Varer som produseres på mål, spesialtilpasses, konfigureres eller bestilles særskilt for kjøper, og som ikke uten vesentlig ulempe kan omsettes til andre kjøpere, kan ikke avbestilles etter at bestilling er lagt hos produsent eller underleverandør, eller produksjon eller tilvirkning er igangsatt. Fra dette tidspunkt forfaller full avtalt kjøpesum til betaling i henhold til avtalte betalingsbetingelser, uavhengig av om kjøper ønsker å motta leveransen. Varen holdes tilgjengelig for kjøper og lagres for kjøpe</w:t>
      </w:r>
      <w:r>
        <w:rPr>
          <w:rFonts w:cs="Calibri"/>
          <w:sz w:val="20"/>
          <w:szCs w:val="20"/>
        </w:rPr>
        <w:t xml:space="preserve">rs regning og risiko. Avbestilling før dette tidspunkt behandles etter reglene for standardvarer ovenfor.</w:t>
      </w:r>
    </w:p>
    <w:p w14:paraId="66BF16C6">
      <w:pPr>
        <w:tabs>
          <w:tab w:val="left" w:pos="7425"/>
        </w:tabs>
        <w:spacing/>
        <w:rPr>
          <w:rFonts w:cs="Calibri"/>
          <w:sz w:val="20"/>
          <w:szCs w:val="20"/>
        </w:rPr>
      </w:pPr>
      <w:r>
        <w:rPr>
          <w:rFonts w:cs="Calibri"/>
          <w:b/>
          <w:bCs/>
          <w:sz w:val="20"/>
          <w:szCs w:val="20"/>
        </w:rPr>
        <w:t xml:space="preserve">Utsettelse. </w:t>
      </w:r>
      <w:r>
        <w:rPr>
          <w:rFonts w:cs="Calibri"/>
          <w:sz w:val="20"/>
          <w:szCs w:val="20"/>
        </w:rPr>
        <w:t xml:space="preserve">Dersom kjøper utsetter avtalt leveringstidspunkt med mer enn 30 dager, kan Tamtron AS fakturere leveransen som levert og lagre varen for kjøpers regning og risiko. Kostnader ved lagring, ny utkjøring og eventuell ny montering dekkes av kjøper.</w:t>
      </w:r>
    </w:p>
    <w:p w14:paraId="4BD99D52">
      <w:pPr>
        <w:tabs>
          <w:tab w:val="left" w:pos="7425"/>
        </w:tabs>
        <w:spacing/>
        <w:rPr>
          <w:rFonts w:cs="Calibri"/>
          <w:sz w:val="20"/>
          <w:szCs w:val="20"/>
        </w:rPr>
      </w:pPr>
      <w:r>
        <w:rPr>
          <w:rFonts w:cs="Calibri"/>
          <w:sz w:val="20"/>
          <w:szCs w:val="20"/>
        </w:rPr>
        <w:t xml:space="preserve">Dette punktet begrenser ikke Tamtron AS sin rett til å kreve erstatning for øvrig tap etter kjøpsloven eller NL-17/NLM19.</w:t>
      </w:r>
    </w:p>
    <w:p w14:paraId="76752223">
      <w:pPr>
        <w:tabs>
          <w:tab w:val="left" w:pos="7425"/>
        </w:tabs>
        <w:spacing/>
        <w:rPr>
          <w:rFonts w:cs="Calibri"/>
          <w:b/>
          <w:bCs/>
          <w:sz w:val="20"/>
          <w:szCs w:val="20"/>
        </w:rPr>
      </w:pPr>
      <w:r>
        <w:rPr>
          <w:rFonts w:cs="Calibri"/>
          <w:b/>
          <w:bCs/>
          <w:sz w:val="20"/>
          <w:szCs w:val="20"/>
        </w:rPr>
        <w:t xml:space="preserve">Transport / Loddfrakt / Underleverandører</w:t>
      </w:r>
    </w:p>
    <w:p w14:paraId="06AB8045">
      <w:pPr>
        <w:tabs>
          <w:tab w:val="left" w:pos="7425"/>
        </w:tabs>
        <w:spacing/>
        <w:rPr>
          <w:sz w:val="20"/>
          <w:szCs w:val="20"/>
        </w:rPr>
      </w:pPr>
      <w:r>
        <w:rPr>
          <w:sz w:val="20"/>
          <w:szCs w:val="20"/>
        </w:rPr>
        <w:t xml:space="preserve">Dersom ikke annet er skriftlig spesifisert er alle kostnader forbundet med frakt og transport, loddtransport, </w:t>
      </w:r>
      <w:r>
        <w:rPr>
          <w:sz w:val="20"/>
          <w:szCs w:val="20"/>
        </w:rPr>
        <w:t xml:space="preserve">kranbil og annet løfteutstyr, </w:t>
      </w:r>
      <w:r>
        <w:rPr>
          <w:sz w:val="20"/>
          <w:szCs w:val="20"/>
        </w:rPr>
        <w:t xml:space="preserve">samsvarserklæring/justergodkjennelse, annen godkjenning av utstyr</w:t>
      </w:r>
      <w:r>
        <w:rPr>
          <w:sz w:val="20"/>
          <w:szCs w:val="20"/>
        </w:rPr>
        <w:t xml:space="preserve">, fortolling og toll, innleie av utstyr</w:t>
      </w:r>
      <w:r>
        <w:rPr>
          <w:sz w:val="20"/>
          <w:szCs w:val="20"/>
        </w:rPr>
        <w:t xml:space="preserve"> samt andre underleverandører ikke inkludert i avtaleprisen. Dette gjelder også kostnader forbundet med reise, reisetid, opphold, diett, overnatting, km godtgjørelse, leiebil og eventuelt andre kostnader som ikke er eksplisitt nevnt som en del av leveransen.</w:t>
      </w:r>
    </w:p>
    <w:p w14:paraId="7C648BBD">
      <w:pPr>
        <w:tabs>
          <w:tab w:val="left" w:pos="7425"/>
        </w:tabs>
        <w:spacing/>
        <w:rPr>
          <w:sz w:val="20"/>
          <w:szCs w:val="20"/>
        </w:rPr>
      </w:pPr>
      <w:r>
        <w:rPr>
          <w:sz w:val="20"/>
          <w:szCs w:val="20"/>
        </w:rPr>
        <w:t xml:space="preserve">Slike kostnader viderefaktureres med et håndteringspåslag som dekker bestilling, koordinering, oppfølging og vår forskuttering. Påslaget beregnes etter Tamtron AS sine til enhver tid gjeldende satser, som kan variere med leveransens omfang og opplyses på forespørsel.</w:t>
      </w:r>
    </w:p>
    <w:p w14:paraId="3851C619">
      <w:pPr>
        <w:tabs>
          <w:tab w:val="left" w:pos="7425"/>
        </w:tabs>
        <w:spacing/>
        <w:rPr>
          <w:b/>
          <w:bCs/>
          <w:sz w:val="20"/>
          <w:szCs w:val="20"/>
        </w:rPr>
      </w:pPr>
      <w:r>
        <w:rPr>
          <w:b/>
          <w:bCs/>
          <w:sz w:val="20"/>
          <w:szCs w:val="20"/>
        </w:rPr>
        <w:t xml:space="preserve">Levering / Risikoovergang</w:t>
      </w:r>
    </w:p>
    <w:p w14:paraId="34299169">
      <w:pPr>
        <w:tabs>
          <w:tab w:val="left" w:pos="7425"/>
        </w:tabs>
        <w:spacing/>
        <w:rPr>
          <w:sz w:val="20"/>
          <w:szCs w:val="20"/>
        </w:rPr>
      </w:pPr>
      <w:r>
        <w:rPr>
          <w:sz w:val="20"/>
          <w:szCs w:val="20"/>
        </w:rPr>
        <w:t xml:space="preserve">Alle bestillinger av produkter som er på lager vil effektueres fortløpende. Dersom produktet ikke er på lager, vil leveringstid kunne variere etter produkttype og produsent. Dersom annet ikke er skriftlig avtalt, går risikoen for skade over på kjøper når varene blir overgitt til den fraktfører som skal forestå forsendelsen for Tamtron AS.</w:t>
      </w:r>
    </w:p>
    <w:p w14:paraId="39BC4B4D">
      <w:pPr>
        <w:tabs>
          <w:tab w:val="left" w:pos="7425"/>
        </w:tabs>
        <w:spacing/>
        <w:rPr>
          <w:b/>
          <w:bCs/>
          <w:sz w:val="20"/>
          <w:szCs w:val="20"/>
        </w:rPr>
      </w:pPr>
      <w:r>
        <w:rPr>
          <w:b/>
          <w:bCs/>
          <w:sz w:val="20"/>
          <w:szCs w:val="20"/>
        </w:rPr>
        <w:t xml:space="preserve">Salgspant</w:t>
      </w:r>
    </w:p>
    <w:p w14:paraId="07A1A0DE">
      <w:pPr>
        <w:tabs>
          <w:tab w:val="left" w:pos="7425"/>
        </w:tabs>
        <w:spacing/>
        <w:rPr>
          <w:b/>
          <w:bCs/>
          <w:noProof/>
          <w:sz w:val="20"/>
          <w:szCs w:val="20"/>
        </w:rPr>
      </w:pPr>
      <w:r>
        <w:rPr>
          <w:sz w:val="20"/>
          <w:szCs w:val="20"/>
        </w:rPr>
        <w:t xml:space="preserve">Tamtron AS har panterett (salgspant) i de solgte varer som sikkerhet for sitt krav på kjøpesummen med tillegg av renter og omkostninger. Jfr. Panteloven §3-14 flg.</w:t>
      </w:r>
      <w:r>
        <w:rPr>
          <w:b/>
          <w:bCs/>
          <w:sz w:val="20"/>
          <w:szCs w:val="20"/>
        </w:rPr>
        <w:tab/>
        <w:t xml:space="preserve"/>
      </w:r>
      <w:r>
        <w:rPr>
          <w:b/>
          <w:bCs/>
          <w:noProof/>
          <w:sz w:val="20"/>
          <w:szCs w:val="20"/>
        </w:rPr>
        <w:t xml:space="preserve">  </w:t>
      </w:r>
    </w:p>
    <w:p w14:paraId="37E2E8D8">
      <w:pPr>
        <w:tabs>
          <w:tab w:val="left" w:pos="7425"/>
        </w:tabs>
        <w:spacing/>
        <w:rPr>
          <w:b/>
          <w:bCs/>
          <w:noProof/>
          <w:sz w:val="20"/>
          <w:szCs w:val="20"/>
        </w:rPr>
      </w:pPr>
    </w:p>
    <w:p w14:paraId="5EA51A98">
      <w:pPr>
        <w:tabs>
          <w:tab w:val="left" w:pos="7425"/>
        </w:tabs>
        <w:spacing/>
        <w:rPr>
          <w:b/>
          <w:bCs/>
          <w:noProof/>
          <w:sz w:val="20"/>
          <w:szCs w:val="20"/>
        </w:rPr>
      </w:pPr>
      <w:r>
        <w:rPr>
          <w:b/>
          <w:bCs/>
          <w:noProof/>
          <w:sz w:val="20"/>
          <w:szCs w:val="20"/>
        </w:rPr>
        <w:t xml:space="preserve">Leveringstid</w:t>
      </w:r>
    </w:p>
    <w:p w14:paraId="7EFA3107">
      <w:pPr>
        <w:tabs>
          <w:tab w:val="left" w:pos="7425"/>
        </w:tabs>
        <w:spacing/>
        <w:rPr>
          <w:noProof/>
          <w:sz w:val="20"/>
          <w:szCs w:val="20"/>
        </w:rPr>
      </w:pPr>
      <w:r>
        <w:rPr>
          <w:noProof/>
          <w:sz w:val="20"/>
          <w:szCs w:val="20"/>
        </w:rPr>
        <w:t xml:space="preserve">Leveringstiden regnes fra det tidspunkt alle spørsmål vedrørende leveringsutførelse er kartlagt. Dersom en vesentlig overskridelse av den oppgitte leveringstiden er sansynlig påhviler det Tamtron AS å underrette kjøper om dette, samt komme med opplysninger om når leveringen kan forventes å finne sted.</w:t>
      </w:r>
    </w:p>
    <w:p w14:paraId="5F37C464">
      <w:pPr>
        <w:tabs>
          <w:tab w:val="left" w:pos="7425"/>
        </w:tabs>
        <w:spacing/>
        <w:rPr>
          <w:b/>
          <w:bCs/>
          <w:noProof/>
          <w:sz w:val="20"/>
          <w:szCs w:val="20"/>
        </w:rPr>
      </w:pPr>
      <w:r>
        <w:rPr>
          <w:b/>
          <w:bCs/>
          <w:noProof/>
          <w:sz w:val="20"/>
          <w:szCs w:val="20"/>
        </w:rPr>
        <w:t xml:space="preserve">Force majeure</w:t>
      </w:r>
    </w:p>
    <w:p w14:paraId="79760B10">
      <w:pPr>
        <w:tabs>
          <w:tab w:val="left" w:pos="7425"/>
        </w:tabs>
        <w:spacing/>
        <w:rPr>
          <w:noProof/>
          <w:sz w:val="20"/>
          <w:szCs w:val="20"/>
        </w:rPr>
      </w:pPr>
      <w:r>
        <w:rPr>
          <w:noProof/>
          <w:sz w:val="20"/>
          <w:szCs w:val="20"/>
        </w:rPr>
        <w:t xml:space="preserve">Skulle det oppstå streiker, lock-out, force majeure, driftsforstyrrelser, forstyrrelser i leveringsverkets normale transportsystem eller andre hindringer som Tamtron AS ikke er herre over, berettiger det oss til å annulere ordren helt eller delvis i samme omfang som vår leverandør gjør ovenfor oss. Tamtron AS er ikke pliktig til å plassere ordren andre steder.</w:t>
      </w:r>
    </w:p>
    <w:p w14:paraId="409363BE">
      <w:pPr>
        <w:tabs>
          <w:tab w:val="left" w:pos="7425"/>
        </w:tabs>
        <w:spacing/>
        <w:rPr>
          <w:b/>
          <w:bCs/>
          <w:noProof/>
          <w:sz w:val="20"/>
          <w:szCs w:val="20"/>
        </w:rPr>
      </w:pPr>
      <w:r>
        <w:rPr>
          <w:b/>
          <w:bCs/>
          <w:noProof/>
          <w:sz w:val="20"/>
          <w:szCs w:val="20"/>
        </w:rPr>
        <w:t xml:space="preserve">Tillegg</w:t>
      </w:r>
    </w:p>
    <w:p w14:paraId="71663E78">
      <w:pPr>
        <w:tabs>
          <w:tab w:val="left" w:pos="7425"/>
        </w:tabs>
        <w:spacing/>
        <w:rPr>
          <w:noProof/>
          <w:sz w:val="20"/>
          <w:szCs w:val="20"/>
          <w:lang w:val="en-US"/>
        </w:rPr>
      </w:pPr>
      <w:r>
        <w:rPr>
          <w:noProof/>
          <w:sz w:val="20"/>
          <w:szCs w:val="20"/>
        </w:rPr>
        <w:t xml:space="preserve">Der hvor disse betingelsene er utilstrekkelige vil NL-17/NLM19 være gjeldende. Det er kjøpers ansvar å sette seg inn i disse bestemmelsene. </w:t>
      </w:r>
      <w:r>
        <w:rPr>
          <w:noProof/>
          <w:sz w:val="20"/>
          <w:szCs w:val="20"/>
          <w:lang w:val="en-US"/>
        </w:rPr>
        <w:t xml:space="preserve">En kopi av NL17 kan fåes fra Tamtron AS på forespørsel.</w:t>
      </w:r>
    </w:p>
    <w:p w14:paraId="7A77889C">
      <w:pPr>
        <w:tabs>
          <w:tab w:val="left" w:pos="7425"/>
        </w:tabs>
        <w:spacing/>
        <w:rPr>
          <w:noProof/>
          <w:lang w:val="en-US"/>
        </w:rPr>
      </w:pPr>
    </w:p>
    <w:p w14:paraId="56C0D529">
      <w:pPr>
        <w:tabs>
          <w:tab w:val="left" w:pos="7425"/>
        </w:tabs>
        <w:spacing/>
        <w:rPr>
          <w:lang w:val="en-US"/>
        </w:rPr>
      </w:pPr>
    </w:p>
    <w:p w14:paraId="3EBE75EA">
      <w:pPr>
        <w:tabs>
          <w:tab w:val="left" w:pos="7425"/>
        </w:tabs>
        <w:spacing/>
        <w:rPr>
          <w:lang w:val="en-US"/>
        </w:rPr>
      </w:pPr>
    </w:p>
    <w:p w14:paraId="2BBE5AB1">
      <w:pPr>
        <w:tabs>
          <w:tab w:val="left" w:pos="7425"/>
        </w:tabs>
        <w:spacing/>
        <w:rPr>
          <w:lang w:val="en-US"/>
        </w:rPr>
      </w:pPr>
    </w:p>
    <w:p w14:paraId="40A9F31F">
      <w:pPr>
        <w:tabs>
          <w:tab w:val="left" w:pos="7425"/>
        </w:tabs>
        <w:spacing/>
        <w:rPr>
          <w:lang w:val="en-US"/>
        </w:rPr>
      </w:pPr>
    </w:p>
    <w:p w14:paraId="52E0B64A">
      <w:pPr>
        <w:tabs>
          <w:tab w:val="left" w:pos="7425"/>
        </w:tabs>
        <w:spacing/>
        <w:rPr>
          <w:lang w:val="en-US"/>
        </w:rPr>
      </w:pPr>
    </w:p>
    <w:p w14:paraId="11BE2068">
      <w:pPr>
        <w:tabs>
          <w:tab w:val="left" w:pos="7425"/>
        </w:tabs>
        <w:spacing/>
        <w:rPr>
          <w:lang w:val="en-US"/>
        </w:rPr>
      </w:pPr>
    </w:p>
    <w:p w14:paraId="45EE025C">
      <w:pPr>
        <w:tabs>
          <w:tab w:val="left" w:pos="7425"/>
        </w:tabs>
        <w:spacing/>
        <w:rPr>
          <w:lang w:val="en-US"/>
        </w:rPr>
      </w:pPr>
    </w:p>
    <w:p w14:paraId="56DD4F53">
      <w:pPr>
        <w:tabs>
          <w:tab w:val="left" w:pos="7425"/>
        </w:tabs>
        <w:spacing/>
        <w:rPr>
          <w:lang w:val="en-US"/>
        </w:rPr>
      </w:pPr>
    </w:p>
    <w:p w14:paraId="0338FD12">
      <w:pPr>
        <w:tabs>
          <w:tab w:val="left" w:pos="7425"/>
        </w:tabs>
        <w:spacing/>
        <w:rPr>
          <w:lang w:val="en-US"/>
        </w:rPr>
      </w:pPr>
    </w:p>
    <w:p w14:paraId="3C514DD1">
      <w:pPr>
        <w:tabs>
          <w:tab w:val="left" w:pos="7425"/>
        </w:tabs>
        <w:spacing/>
        <w:rPr>
          <w:lang w:val="en-US"/>
        </w:rPr>
      </w:pPr>
    </w:p>
    <w:p w14:paraId="16232033">
      <w:pPr>
        <w:tabs>
          <w:tab w:val="left" w:pos="7425"/>
        </w:tabs>
        <w:spacing/>
        <w:rPr>
          <w:lang w:val="en-US"/>
        </w:rPr>
      </w:pPr>
    </w:p>
    <w:p w14:paraId="7E8BC7E0">
      <w:pPr>
        <w:tabs>
          <w:tab w:val="left" w:pos="7425"/>
        </w:tabs>
        <w:spacing/>
        <w:rPr>
          <w:lang w:val="en-US"/>
        </w:rPr>
      </w:pPr>
    </w:p>
    <w:p w14:paraId="6B99E75F">
      <w:pPr>
        <w:tabs>
          <w:tab w:val="left" w:pos="7425"/>
        </w:tabs>
        <w:spacing/>
        <w:rPr>
          <w:lang w:val="en-US"/>
        </w:rPr>
      </w:pPr>
    </w:p>
    <w:p w14:paraId="71CC9B04">
      <w:pPr>
        <w:tabs>
          <w:tab w:val="left" w:pos="7425"/>
        </w:tabs>
        <w:spacing/>
        <w:rPr>
          <w:lang w:val="en-US"/>
        </w:rPr>
      </w:pPr>
    </w:p>
    <w:p w14:paraId="0145E255">
      <w:pPr>
        <w:tabs>
          <w:tab w:val="left" w:pos="7425"/>
        </w:tabs>
        <w:spacing/>
        <w:rPr>
          <w:lang w:val="en-US"/>
        </w:rPr>
      </w:pPr>
    </w:p>
    <w:p w14:paraId="6D57D1C2">
      <w:pPr>
        <w:tabs>
          <w:tab w:val="left" w:pos="7425"/>
        </w:tabs>
        <w:spacing/>
        <w:rPr>
          <w:lang w:val="en-US"/>
        </w:rPr>
      </w:pPr>
    </w:p>
    <w:p w14:paraId="54E01907">
      <w:pPr>
        <w:tabs>
          <w:tab w:val="left" w:pos="7425"/>
        </w:tabs>
        <w:spacing/>
        <w:rPr>
          <w:lang w:val="en-US"/>
        </w:rPr>
      </w:pPr>
    </w:p>
    <w:p w14:paraId="3EB73920">
      <w:pPr>
        <w:tabs>
          <w:tab w:val="left" w:pos="7425"/>
        </w:tabs>
        <w:spacing/>
        <w:rPr>
          <w:lang w:val="en-US"/>
        </w:rPr>
      </w:pPr>
    </w:p>
    <w:p w14:paraId="1794C8D0">
      <w:pPr>
        <w:tabs>
          <w:tab w:val="left" w:pos="7425"/>
        </w:tabs>
        <w:spacing/>
        <w:rPr>
          <w:lang w:val="en-US"/>
        </w:rPr>
      </w:pPr>
    </w:p>
    <w:p w14:paraId="11B96EFD">
      <w:pPr>
        <w:tabs>
          <w:tab w:val="left" w:pos="7425"/>
        </w:tabs>
        <w:spacing/>
        <w:rPr>
          <w:lang w:val="en-US"/>
        </w:rPr>
      </w:pPr>
    </w:p>
    <w:p w14:paraId="5C9703C4">
      <w:pPr>
        <w:tabs>
          <w:tab w:val="left" w:pos="7425"/>
        </w:tabs>
        <w:spacing/>
        <w:jc w:val="center"/>
        <w:rPr>
          <w:rFonts w:ascii="Calibri" w:hAnsi="Calibri" w:cs="Calibri"/>
          <w:b/>
          <w:bCs/>
          <w:sz w:val="32"/>
          <w:szCs w:val="32"/>
          <w:u w:val="single"/>
          <w:lang w:val="en-US"/>
        </w:rPr>
      </w:pPr>
      <w:r>
        <w:rPr>
          <w:rFonts w:ascii="Calibri" w:hAnsi="Calibri" w:cs="Calibri"/>
          <w:b/>
          <w:bCs/>
          <w:sz w:val="32"/>
          <w:szCs w:val="32"/>
          <w:u w:val="single"/>
          <w:lang w:val="en-US"/>
        </w:rPr>
        <w:t xml:space="preserve">Tamtron AS Terms of sale</w:t>
      </w:r>
    </w:p>
    <w:p w14:paraId="28785BBC">
      <w:pPr>
        <w:tabs>
          <w:tab w:val="left" w:pos="7425"/>
        </w:tabs>
        <w:spacing/>
        <w:rPr>
          <w:b/>
          <w:bCs/>
          <w:sz w:val="20"/>
          <w:szCs w:val="20"/>
          <w:lang w:val="en-US"/>
        </w:rPr>
      </w:pPr>
      <w:r>
        <w:rPr>
          <w:b/>
          <w:bCs/>
          <w:sz w:val="20"/>
          <w:szCs w:val="20"/>
          <w:lang w:val="en-US"/>
        </w:rPr>
        <w:t xml:space="preserve">General</w:t>
      </w:r>
    </w:p>
    <w:p w14:paraId="2C63F37F">
      <w:pPr>
        <w:tabs>
          <w:tab w:val="left" w:pos="7425"/>
        </w:tabs>
        <w:spacing/>
        <w:rPr>
          <w:sz w:val="20"/>
          <w:szCs w:val="20"/>
          <w:lang w:val="en"/>
        </w:rPr>
      </w:pPr>
      <w:r>
        <w:rPr>
          <w:sz w:val="20"/>
          <w:szCs w:val="20"/>
          <w:lang w:val="en"/>
        </w:rPr>
        <w:t xml:space="preserve">All our sales agreements are subject to the following terms and conditions, unless mandatory statutory provisions are affected. The buyer's own purchasing conditions do not bind us, unless otherwise agreed and confirmed in writing by us. Tamtron AS charges administration costs on outgoing invoices.</w:t>
      </w:r>
    </w:p>
    <w:p w14:paraId="11810B75">
      <w:pPr>
        <w:tabs>
          <w:tab w:val="left" w:pos="7425"/>
        </w:tabs>
        <w:spacing/>
        <w:rPr>
          <w:b/>
          <w:bCs/>
          <w:sz w:val="20"/>
          <w:szCs w:val="20"/>
          <w:lang w:val="en"/>
        </w:rPr>
      </w:pPr>
      <w:r>
        <w:rPr>
          <w:b/>
          <w:bCs/>
          <w:sz w:val="20"/>
          <w:szCs w:val="20"/>
          <w:lang w:val="en"/>
        </w:rPr>
        <w:t xml:space="preserve">Product information</w:t>
      </w:r>
    </w:p>
    <w:p w14:paraId="1EA14373">
      <w:pPr>
        <w:tabs>
          <w:tab w:val="left" w:pos="7425"/>
        </w:tabs>
        <w:spacing/>
        <w:rPr>
          <w:sz w:val="20"/>
          <w:szCs w:val="20"/>
          <w:lang w:val="en"/>
        </w:rPr>
      </w:pPr>
      <w:r>
        <w:rPr>
          <w:sz w:val="20"/>
          <w:szCs w:val="20"/>
          <w:lang w:val="en"/>
        </w:rPr>
        <w:t xml:space="preserve">All information on weight, dimensions and quality as well as technical and other data, which appears in catalogues and brochures, is indicative and only binding to the extent that such information is part of an agreement confirmed by us.</w:t>
      </w:r>
    </w:p>
    <w:p w14:paraId="2BA5523E">
      <w:pPr>
        <w:tabs>
          <w:tab w:val="left" w:pos="7425"/>
        </w:tabs>
        <w:spacing/>
        <w:rPr>
          <w:b/>
          <w:bCs/>
          <w:sz w:val="20"/>
          <w:szCs w:val="20"/>
          <w:lang w:val="en"/>
        </w:rPr>
      </w:pPr>
      <w:r>
        <w:rPr>
          <w:b/>
          <w:bCs/>
          <w:sz w:val="20"/>
          <w:szCs w:val="20"/>
          <w:lang w:val="en"/>
        </w:rPr>
        <w:t xml:space="preserve">Quality / workmanship</w:t>
      </w:r>
    </w:p>
    <w:p w14:paraId="0050E899">
      <w:pPr>
        <w:tabs>
          <w:tab w:val="left" w:pos="7425"/>
        </w:tabs>
        <w:spacing/>
        <w:rPr>
          <w:sz w:val="20"/>
          <w:szCs w:val="20"/>
          <w:lang w:val="en"/>
        </w:rPr>
      </w:pPr>
      <w:r>
        <w:rPr>
          <w:sz w:val="20"/>
          <w:szCs w:val="20"/>
          <w:lang w:val="en"/>
        </w:rPr>
        <w:t xml:space="preserve">The buyer is responsible for ensuring that the technical specifications and the materials are suitable for their needs. If the material is not ordered according to a standard or with a specified quality designation, it will be delivered in normal commercial quality and workmanship without liability for special quality requirements.</w:t>
      </w:r>
    </w:p>
    <w:p w14:paraId="3AF7E16A">
      <w:pPr>
        <w:tabs>
          <w:tab w:val="left" w:pos="7425"/>
        </w:tabs>
        <w:spacing/>
        <w:rPr>
          <w:b/>
          <w:bCs/>
          <w:sz w:val="20"/>
          <w:szCs w:val="20"/>
          <w:lang w:val="en"/>
        </w:rPr>
      </w:pPr>
      <w:r>
        <w:rPr>
          <w:b/>
          <w:bCs/>
          <w:sz w:val="20"/>
          <w:szCs w:val="20"/>
          <w:lang w:val="en"/>
        </w:rPr>
        <w:t xml:space="preserve">Network connection - limitation of liability</w:t>
      </w:r>
    </w:p>
    <w:p w14:paraId="528F8350">
      <w:pPr>
        <w:tabs>
          <w:tab w:val="left" w:pos="7425"/>
        </w:tabs>
        <w:spacing/>
        <w:rPr>
          <w:sz w:val="20"/>
          <w:szCs w:val="20"/>
          <w:lang w:val="en"/>
        </w:rPr>
      </w:pPr>
      <w:r>
        <w:rPr>
          <w:sz w:val="20"/>
          <w:szCs w:val="20"/>
          <w:lang w:val="en"/>
        </w:rPr>
        <w:t xml:space="preserve">Some of our products require access to a stable network in order to function as intended. We would like to point out that the configuration, arrangement and operation of the customer's internal network and associated security settings (firewall, VPN, proxy, etc.) are outside the scope of Tamtron AS's responsibility. The customer is responsible for ensuring that the network to which the product is connected functions satisfactorily and is compatible with the technical requirements of the products. Tamtron AS</w:t>
      </w:r>
      <w:r>
        <w:rPr>
          <w:sz w:val="20"/>
          <w:szCs w:val="20"/>
          <w:lang w:val="en"/>
        </w:rPr>
        <w:t xml:space="preserve"> disclaims any liability for errors, lack of functionality or reduced performance due to network problems, insufficient capacity, incorrect configuration or other conditions related to the customer's own network infrastructure. Tamtron AS can assist with guidance if needed but cannot guarantee that the product will work in the customer's existing network environment or take responsibility for any adjustments that may be required in the customer's own systems.</w:t>
      </w:r>
    </w:p>
    <w:p w14:paraId="66AD7A30">
      <w:pPr>
        <w:tabs>
          <w:tab w:val="left" w:pos="7425"/>
        </w:tabs>
        <w:spacing/>
        <w:rPr>
          <w:b/>
          <w:bCs/>
          <w:sz w:val="20"/>
          <w:szCs w:val="20"/>
          <w:lang w:val="en"/>
        </w:rPr>
      </w:pPr>
      <w:r>
        <w:rPr>
          <w:b/>
          <w:bCs/>
          <w:sz w:val="20"/>
          <w:szCs w:val="20"/>
          <w:lang w:val="en"/>
        </w:rPr>
        <w:t xml:space="preserve">Warranty / Complaints</w:t>
      </w:r>
    </w:p>
    <w:p w14:paraId="28357362">
      <w:pPr>
        <w:tabs>
          <w:tab w:val="left" w:pos="7425"/>
        </w:tabs>
        <w:spacing/>
        <w:rPr>
          <w:sz w:val="20"/>
          <w:szCs w:val="20"/>
          <w:lang w:val="en"/>
        </w:rPr>
      </w:pPr>
      <w:r>
        <w:rPr>
          <w:sz w:val="20"/>
          <w:szCs w:val="20"/>
          <w:lang w:val="en"/>
        </w:rPr>
        <w:t xml:space="preserve">Tamtron AS basically provides a 12-month product warranty unless otherwise agreed in writing. Demo scales and other used equipment have different warranty conditions. An extended warranty can be provided by further agreement. Otherwise, the complaint rules in Section 32 of the Norwegian Purchase Act apply. In connection with service and repairs, the warranty period for spare parts and work is 3 months from the time of installation. Where seals are broken, all applicable warranties from Tamtron AS are void. </w:t>
      </w:r>
      <w:r>
        <w:rPr>
          <w:sz w:val="20"/>
          <w:szCs w:val="20"/>
          <w:lang w:val="en"/>
        </w:rPr>
        <w:t xml:space="preserve">The warranty only applies to products; other costs such as replacement work, freight, adjustment fees, etc. are not covered by the warranty. It is the buyer's responsibility to inspect the goods immediately upon receipt. If the buyer wishes to claim that the delivery is inadequate or defective, a written complaint must be submitted no later than 8 days after delivery by email to the contact person or email address; post@tamtron.no</w:t>
      </w:r>
    </w:p>
    <w:p w14:paraId="25983851">
      <w:pPr>
        <w:tabs>
          <w:tab w:val="left" w:pos="7425"/>
        </w:tabs>
        <w:spacing/>
        <w:rPr>
          <w:sz w:val="20"/>
          <w:szCs w:val="20"/>
          <w:lang w:val="en"/>
        </w:rPr>
      </w:pPr>
      <w:r>
        <w:rPr>
          <w:sz w:val="20"/>
          <w:szCs w:val="20"/>
          <w:lang w:val="en"/>
        </w:rPr>
        <w:t xml:space="preserve">Subject to an approved complaint, the delivered goods will be replaced with either a new item, or reimbursed by crediting the purchase price after our sale. Tamtron AS does not assume compensation for operating losses, lost earnings or other indirect losses for the customer. Tamtron AS does not accept claims for compensation for damages caused by the properties of the delivered goods.</w:t>
      </w:r>
    </w:p>
    <w:p w14:paraId="5BB53A5D">
      <w:pPr>
        <w:tabs>
          <w:tab w:val="left" w:pos="7425"/>
        </w:tabs>
        <w:spacing/>
        <w:rPr>
          <w:b/>
          <w:bCs/>
          <w:sz w:val="20"/>
          <w:szCs w:val="20"/>
          <w:lang w:val="en"/>
        </w:rPr>
      </w:pPr>
      <w:r>
        <w:rPr>
          <w:b/>
          <w:bCs/>
          <w:sz w:val="20"/>
          <w:szCs w:val="20"/>
          <w:lang w:val="en"/>
        </w:rPr>
        <w:t xml:space="preserve">Return policy</w:t>
      </w:r>
    </w:p>
    <w:p w14:paraId="528CF1CD">
      <w:pPr>
        <w:tabs>
          <w:tab w:val="left" w:pos="7425"/>
        </w:tabs>
        <w:spacing/>
        <w:rPr>
          <w:sz w:val="20"/>
          <w:szCs w:val="20"/>
          <w:lang w:val="en"/>
        </w:rPr>
      </w:pPr>
      <w:r>
        <w:rPr>
          <w:sz w:val="20"/>
          <w:szCs w:val="20"/>
          <w:lang w:val="en"/>
        </w:rPr>
        <w:t xml:space="preserve">Returns of incorrectly ordered goods can only be made after prior agreement with Tamtron AS, and no later than 8 days after delivery. If we accept returns, the customer's invoice will be credited with a deduction of 15% to cover our costs. The exception is incorrect processing on the part of Tamtron AS or goods that are subject to a complaint, which are described under the item Warranty/Complaint. It is a condition for crediting returned goods that these goods are in undamaged condition, no signs of use and</w:t>
      </w:r>
      <w:r>
        <w:rPr>
          <w:sz w:val="20"/>
          <w:szCs w:val="20"/>
          <w:lang w:val="en"/>
        </w:rPr>
        <w:t xml:space="preserve">/or wear, and that they are packaged properly in the original packaging.</w:t>
      </w:r>
    </w:p>
    <w:p w14:paraId="04253485">
      <w:pPr>
        <w:tabs>
          <w:tab w:val="left" w:pos="7425"/>
        </w:tabs>
        <w:spacing/>
        <w:rPr>
          <w:b/>
          <w:bCs/>
          <w:sz w:val="20"/>
          <w:szCs w:val="20"/>
          <w:lang w:val="en"/>
        </w:rPr>
      </w:pPr>
      <w:r>
        <w:rPr>
          <w:b/>
          <w:bCs/>
          <w:sz w:val="20"/>
          <w:szCs w:val="20"/>
          <w:lang w:val="en"/>
        </w:rPr>
        <w:t xml:space="preserve">Cancellation of orders</w:t>
      </w:r>
    </w:p>
    <w:p w14:paraId="225C8D23">
      <w:pPr>
        <w:tabs>
          <w:tab w:val="left" w:pos="7425"/>
        </w:tabs>
        <w:spacing/>
        <w:rPr>
          <w:sz w:val="20"/>
          <w:szCs w:val="20"/>
          <w:lang w:val="en"/>
        </w:rPr>
      </w:pPr>
      <w:r>
        <w:rPr>
          <w:sz w:val="20"/>
          <w:szCs w:val="20"/>
          <w:lang w:val="en"/>
        </w:rPr>
        <w:t xml:space="preserve">Cancellation of an order must be made in writing to Tamtron AS and is not binding on Tamtron AS until confirmed by us in writing. A cancellation is not considered a complaint.</w:t>
      </w:r>
    </w:p>
    <w:p w14:paraId="539F41BE">
      <w:pPr>
        <w:tabs>
          <w:tab w:val="left" w:pos="7425"/>
        </w:tabs>
        <w:spacing/>
        <w:rPr>
          <w:sz w:val="20"/>
          <w:szCs w:val="20"/>
          <w:lang w:val="en"/>
        </w:rPr>
      </w:pPr>
      <w:r>
        <w:rPr>
          <w:b/>
          <w:bCs/>
          <w:sz w:val="20"/>
          <w:szCs w:val="20"/>
          <w:lang w:val="en"/>
        </w:rPr>
        <w:t xml:space="preserve">Standard goods. </w:t>
      </w:r>
      <w:r>
        <w:rPr>
          <w:sz w:val="20"/>
          <w:szCs w:val="20"/>
          <w:lang w:val="en"/>
        </w:rPr>
        <w:t xml:space="preserve">Standard goods held in stock may be cancelled until the goods have been dispatched by Tamtron AS or by our subcontractor. Upon cancellation, the buyer shall reimburse Tamtron AS for its documented costs and losses resulting from the cancellation, including but not limited to: freight incurred and any return freight, ordering, handling and storage costs, cancellation fees, restocking fees or other claims made against us by the manufacturer, supplier or subcontractor, work already performed, engineering, conf</w:t>
      </w:r>
      <w:r>
        <w:rPr>
          <w:sz w:val="20"/>
          <w:szCs w:val="20"/>
          <w:lang w:val="en"/>
        </w:rPr>
        <w:t xml:space="preserve">iguration and technical assistance, as well as travel, travel time, accommodation and other costs incurred by our technicians. If the goods have been delivered, the Return policy applies.</w:t>
      </w:r>
    </w:p>
    <w:p w14:paraId="1FAA018C">
      <w:pPr>
        <w:tabs>
          <w:tab w:val="left" w:pos="7425"/>
        </w:tabs>
        <w:spacing/>
        <w:rPr>
          <w:sz w:val="20"/>
          <w:szCs w:val="20"/>
          <w:lang w:val="en"/>
        </w:rPr>
      </w:pPr>
      <w:r>
        <w:rPr>
          <w:b/>
          <w:bCs/>
          <w:sz w:val="20"/>
          <w:szCs w:val="20"/>
          <w:lang w:val="en"/>
        </w:rPr>
        <w:t xml:space="preserve">Goods ordered or manufactured to the buyer’s specification. </w:t>
      </w:r>
      <w:r>
        <w:rPr>
          <w:sz w:val="20"/>
          <w:szCs w:val="20"/>
          <w:lang w:val="en"/>
        </w:rPr>
        <w:t xml:space="preserve">Goods that are made to measure, customised, configured or ordered specifically for the buyer, and that cannot be sold to other buyers without significant inconvenience, cannot be cancelled once the order has been placed with the manufacturer or subcontractor, or once production or fabrication has commenced. From that point the full agreed purchase price falls due for payment in accordance with the agreed payment terms, irrespective of whether the buyer wishes to receive the delivery. The goods are held avai</w:t>
      </w:r>
      <w:r>
        <w:rPr>
          <w:sz w:val="20"/>
          <w:szCs w:val="20"/>
          <w:lang w:val="en"/>
        </w:rPr>
        <w:t xml:space="preserve">lable for the buyer and stored at the buyer’s expense and risk. Cancellation prior to that point is handled under the rules for standard goods above.</w:t>
      </w:r>
    </w:p>
    <w:p w14:paraId="580A246F">
      <w:pPr>
        <w:tabs>
          <w:tab w:val="left" w:pos="7425"/>
        </w:tabs>
        <w:spacing/>
        <w:rPr>
          <w:sz w:val="20"/>
          <w:szCs w:val="20"/>
          <w:lang w:val="en"/>
        </w:rPr>
      </w:pPr>
      <w:r>
        <w:rPr>
          <w:b/>
          <w:bCs/>
          <w:sz w:val="20"/>
          <w:szCs w:val="20"/>
          <w:lang w:val="en"/>
        </w:rPr>
        <w:t xml:space="preserve">Postponement. </w:t>
      </w:r>
      <w:r>
        <w:rPr>
          <w:sz w:val="20"/>
          <w:szCs w:val="20"/>
          <w:lang w:val="en"/>
        </w:rPr>
        <w:t xml:space="preserve">If the buyer postpones the agreed delivery date by more than 30 days, Tamtron AS may invoice the delivery as delivered and store the goods at the buyer’s expense and risk. Costs of storage, redelivery and any reinstallation are borne by the buyer.</w:t>
      </w:r>
    </w:p>
    <w:p w14:paraId="1824A898">
      <w:pPr>
        <w:tabs>
          <w:tab w:val="left" w:pos="7425"/>
        </w:tabs>
        <w:spacing/>
        <w:rPr>
          <w:sz w:val="20"/>
          <w:szCs w:val="20"/>
          <w:lang w:val="en"/>
        </w:rPr>
      </w:pPr>
      <w:r>
        <w:rPr>
          <w:sz w:val="20"/>
          <w:szCs w:val="20"/>
          <w:lang w:val="en"/>
        </w:rPr>
        <w:t xml:space="preserve">This clause does not limit Tamtron AS’ right to claim compensation for any further loss under the Norwegian Sale of Goods Act or NL-17/NLM19.</w:t>
      </w:r>
    </w:p>
    <w:p w14:paraId="516482C5">
      <w:pPr>
        <w:tabs>
          <w:tab w:val="left" w:pos="7425"/>
        </w:tabs>
        <w:spacing/>
        <w:rPr>
          <w:b/>
          <w:bCs/>
          <w:sz w:val="20"/>
          <w:szCs w:val="20"/>
          <w:lang w:val="en"/>
        </w:rPr>
      </w:pPr>
      <w:r>
        <w:rPr>
          <w:b/>
          <w:bCs/>
          <w:sz w:val="20"/>
          <w:szCs w:val="20"/>
          <w:lang w:val="en"/>
        </w:rPr>
        <w:t xml:space="preserve">Transport / Lot transport / Subcontractors</w:t>
      </w:r>
    </w:p>
    <w:p w14:paraId="17F99836">
      <w:pPr>
        <w:tabs>
          <w:tab w:val="left" w:pos="7425"/>
        </w:tabs>
        <w:spacing/>
        <w:rPr>
          <w:sz w:val="20"/>
          <w:szCs w:val="20"/>
          <w:lang w:val="en"/>
        </w:rPr>
      </w:pPr>
      <w:r>
        <w:rPr>
          <w:sz w:val="20"/>
          <w:szCs w:val="20"/>
          <w:lang w:val="en"/>
        </w:rPr>
        <w:t xml:space="preserve">Unless otherwise specified in writing, all costs associated with freight and transport, lot transport, crane trucks and other lifting equipment, declaration of conformity/verification approval, other approval of equipment, customs clearance and duties, equipment hire and other subcontractors are not included in the agreed price. This also applies to costs associated with travel, travel time, accommodation, subsistence, overnight stay, mileage allowance, rental car and any other costs not explicitly stated a</w:t>
      </w:r>
      <w:r>
        <w:rPr>
          <w:sz w:val="20"/>
          <w:szCs w:val="20"/>
          <w:lang w:val="en"/>
        </w:rPr>
        <w:t xml:space="preserve">s part of the delivery.</w:t>
      </w:r>
    </w:p>
    <w:p w14:paraId="5D50FE85">
      <w:pPr>
        <w:tabs>
          <w:tab w:val="left" w:pos="7425"/>
        </w:tabs>
        <w:spacing/>
        <w:rPr>
          <w:sz w:val="20"/>
          <w:szCs w:val="20"/>
          <w:lang w:val="en"/>
        </w:rPr>
      </w:pPr>
      <w:r>
        <w:rPr>
          <w:sz w:val="20"/>
          <w:szCs w:val="20"/>
          <w:lang w:val="en"/>
        </w:rPr>
        <w:t xml:space="preserve">Such costs are re-invoiced with a handling surcharge covering ordering, coordination, follow-up and our advance payment. The surcharge is calculated at Tamtron AS’ standard rates in force at any time, which may vary with the scope of the delivery and are disclosed on request.</w:t>
      </w:r>
    </w:p>
    <w:p w14:paraId="07412949">
      <w:pPr>
        <w:tabs>
          <w:tab w:val="left" w:pos="7425"/>
        </w:tabs>
        <w:spacing/>
        <w:rPr>
          <w:b/>
          <w:bCs/>
          <w:sz w:val="20"/>
          <w:szCs w:val="20"/>
          <w:lang w:val="en"/>
        </w:rPr>
      </w:pPr>
      <w:r>
        <w:rPr>
          <w:b/>
          <w:bCs/>
          <w:sz w:val="20"/>
          <w:szCs w:val="20"/>
          <w:lang w:val="en"/>
        </w:rPr>
        <w:t xml:space="preserve">Delivery / Transfer of Risk</w:t>
      </w:r>
    </w:p>
    <w:p w14:paraId="69D97763">
      <w:pPr>
        <w:tabs>
          <w:tab w:val="left" w:pos="7425"/>
        </w:tabs>
        <w:spacing/>
        <w:rPr>
          <w:sz w:val="20"/>
          <w:szCs w:val="20"/>
          <w:lang w:val="en"/>
        </w:rPr>
      </w:pPr>
      <w:r>
        <w:rPr>
          <w:sz w:val="20"/>
          <w:szCs w:val="20"/>
          <w:lang w:val="en"/>
        </w:rPr>
        <w:t xml:space="preserve">All orders for products that are in stock will be processed continuously. If the product is not in stock, the delivery time may vary depending on the product type and manufacturer. Unless otherwise agreed in </w:t>
      </w:r>
      <w:r>
        <w:rPr>
          <w:sz w:val="20"/>
          <w:szCs w:val="20"/>
          <w:lang w:val="en"/>
        </w:rPr>
        <w:t xml:space="preserve">writing, the risk of damage passes to the buyer when the goods are handed over to the carrier who will handle the shipment for Tamtron AS.</w:t>
      </w:r>
    </w:p>
    <w:p w14:paraId="56C5EEB3">
      <w:pPr>
        <w:tabs>
          <w:tab w:val="left" w:pos="7425"/>
        </w:tabs>
        <w:spacing/>
        <w:rPr>
          <w:b/>
          <w:bCs/>
          <w:sz w:val="20"/>
          <w:szCs w:val="20"/>
          <w:lang w:val="en"/>
        </w:rPr>
      </w:pPr>
      <w:r>
        <w:rPr>
          <w:b/>
          <w:bCs/>
          <w:sz w:val="20"/>
          <w:szCs w:val="20"/>
          <w:lang w:val="en"/>
        </w:rPr>
        <w:t xml:space="preserve">Sales pledge</w:t>
      </w:r>
    </w:p>
    <w:p w14:paraId="02632BC9">
      <w:pPr>
        <w:tabs>
          <w:tab w:val="left" w:pos="7425"/>
        </w:tabs>
        <w:spacing/>
        <w:rPr>
          <w:sz w:val="20"/>
          <w:szCs w:val="20"/>
          <w:lang w:val="en"/>
        </w:rPr>
      </w:pPr>
      <w:r>
        <w:rPr>
          <w:sz w:val="20"/>
          <w:szCs w:val="20"/>
          <w:lang w:val="en"/>
        </w:rPr>
        <w:t xml:space="preserve">Tamtron AS has a lien (sales pledge) in the sold goods as security for its claim on the purchase price with the addition of interest and costs. Cf. The Norwegian Mortgage Act §3-14 et seq. </w:t>
      </w:r>
    </w:p>
    <w:p w14:paraId="319380EF">
      <w:pPr>
        <w:tabs>
          <w:tab w:val="left" w:pos="7425"/>
        </w:tabs>
        <w:spacing/>
        <w:rPr>
          <w:b/>
          <w:bCs/>
          <w:sz w:val="20"/>
          <w:szCs w:val="20"/>
          <w:lang w:val="en"/>
        </w:rPr>
      </w:pPr>
      <w:r>
        <w:rPr>
          <w:b/>
          <w:bCs/>
          <w:sz w:val="20"/>
          <w:szCs w:val="20"/>
          <w:lang w:val="en"/>
        </w:rPr>
        <w:t xml:space="preserve">Delivery time</w:t>
      </w:r>
    </w:p>
    <w:p w14:paraId="02C60C2D">
      <w:pPr>
        <w:tabs>
          <w:tab w:val="left" w:pos="7425"/>
        </w:tabs>
        <w:spacing/>
        <w:rPr>
          <w:sz w:val="20"/>
          <w:szCs w:val="20"/>
          <w:lang w:val="en"/>
        </w:rPr>
      </w:pPr>
      <w:r>
        <w:rPr>
          <w:sz w:val="20"/>
          <w:szCs w:val="20"/>
          <w:lang w:val="en"/>
        </w:rPr>
        <w:t xml:space="preserve">The delivery time is calculated from the time all questions regarding delivery execution have been clarified. If a significant exceedance of the stated delivery time is likely, it is Tamtron AS's responsibility to inform the buyer of this, as well as to provide information about when delivery can be expected to take place.</w:t>
      </w:r>
    </w:p>
    <w:p w14:paraId="02CDB913">
      <w:pPr>
        <w:tabs>
          <w:tab w:val="left" w:pos="7425"/>
        </w:tabs>
        <w:spacing/>
        <w:rPr>
          <w:b/>
          <w:bCs/>
          <w:sz w:val="20"/>
          <w:szCs w:val="20"/>
          <w:lang w:val="en"/>
        </w:rPr>
      </w:pPr>
      <w:r>
        <w:rPr>
          <w:b/>
          <w:bCs/>
          <w:sz w:val="20"/>
          <w:szCs w:val="20"/>
          <w:lang w:val="en"/>
        </w:rPr>
        <w:t xml:space="preserve">Force majeure</w:t>
      </w:r>
    </w:p>
    <w:p w14:paraId="2941AD27">
      <w:pPr>
        <w:tabs>
          <w:tab w:val="left" w:pos="7425"/>
        </w:tabs>
        <w:spacing/>
        <w:rPr>
          <w:sz w:val="20"/>
          <w:szCs w:val="20"/>
          <w:lang w:val="en"/>
        </w:rPr>
      </w:pPr>
      <w:r>
        <w:rPr>
          <w:sz w:val="20"/>
          <w:szCs w:val="20"/>
          <w:lang w:val="en"/>
        </w:rPr>
        <w:t xml:space="preserve">Should strikes, lock-outs, force majeure, operational disruptions, disruptions in the delivery company's normal transport system or other obstacles beyond Tamtron AS' control arise, this entitles us to cancel the order in whole or in part to the same extent as our supplier does towards us. Tamtron AS is not obliged to place the order elsewhere.</w:t>
      </w:r>
    </w:p>
    <w:p w14:paraId="579C71D3">
      <w:pPr>
        <w:tabs>
          <w:tab w:val="left" w:pos="7425"/>
        </w:tabs>
        <w:spacing/>
        <w:rPr>
          <w:b/>
          <w:bCs/>
          <w:sz w:val="20"/>
          <w:szCs w:val="20"/>
          <w:lang w:val="en"/>
        </w:rPr>
      </w:pPr>
      <w:r>
        <w:rPr>
          <w:b/>
          <w:bCs/>
          <w:sz w:val="20"/>
          <w:szCs w:val="20"/>
          <w:lang w:val="en"/>
        </w:rPr>
        <w:t xml:space="preserve">Additions</w:t>
      </w:r>
    </w:p>
    <w:p w14:paraId="27C79AD9">
      <w:pPr>
        <w:tabs>
          <w:tab w:val="left" w:pos="7425"/>
        </w:tabs>
        <w:spacing/>
        <w:rPr>
          <w:sz w:val="20"/>
          <w:szCs w:val="20"/>
          <w:lang w:val="en-US"/>
        </w:rPr>
      </w:pPr>
      <w:r>
        <w:rPr>
          <w:sz w:val="20"/>
          <w:szCs w:val="20"/>
          <w:lang w:val="en"/>
        </w:rPr>
        <w:t xml:space="preserve">Where these conditions are insufficient, NL-17/NLM19 will apply. It is the buyer's responsibility to familiarize themselves with these provisions. A copy of NL17 can be obtained from Tamtron AS on request.</w:t>
      </w:r>
    </w:p>
    <w:p w14:paraId="2F8C3F97">
      <w:pPr>
        <w:tabs>
          <w:tab w:val="left" w:pos="7425"/>
        </w:tabs>
        <w:spacing/>
        <w:rPr>
          <w:sz w:val="20"/>
          <w:szCs w:val="20"/>
          <w:lang w:val="en-US"/>
        </w:rPr>
      </w:pPr>
    </w:p>
    <w:p w14:paraId="327045A5">
      <w:pPr>
        <w:tabs>
          <w:tab w:val="left" w:pos="7425"/>
        </w:tabs>
        <w:spacing/>
        <w:rPr>
          <w:sz w:val="20"/>
          <w:szCs w:val="20"/>
          <w:lang w:val="en-US"/>
        </w:rPr>
      </w:pPr>
    </w:p>
    <w:p w14:paraId="182C90DA">
      <w:pPr>
        <w:tabs>
          <w:tab w:val="left" w:pos="7425"/>
        </w:tabs>
        <w:spacing/>
        <w:rPr>
          <w:sz w:val="20"/>
          <w:szCs w:val="20"/>
          <w:lang w:val="en-US"/>
        </w:rPr>
      </w:pPr>
    </w:p>
    <w:p w14:paraId="00BDC0BC">
      <w:pPr>
        <w:tabs>
          <w:tab w:val="left" w:pos="7425"/>
        </w:tabs>
        <w:spacing/>
        <w:rPr>
          <w:sz w:val="20"/>
          <w:szCs w:val="20"/>
          <w:lang w:val="en-US"/>
        </w:rPr>
      </w:pPr>
    </w:p>
    <w:p w14:paraId="0A978EFE">
      <w:pPr>
        <w:tabs>
          <w:tab w:val="left" w:pos="7425"/>
        </w:tabs>
        <w:spacing/>
        <w:rPr>
          <w:sz w:val="20"/>
          <w:szCs w:val="20"/>
          <w:lang w:val="en-US"/>
        </w:rPr>
      </w:pPr>
    </w:p>
    <w:p w14:paraId="73555D92">
      <w:pPr>
        <w:tabs>
          <w:tab w:val="left" w:pos="7425"/>
        </w:tabs>
        <w:spacing/>
        <w:rPr>
          <w:b/>
          <w:bCs/>
          <w:sz w:val="20"/>
          <w:szCs w:val="20"/>
          <w:lang w:val="en-US"/>
        </w:rPr>
      </w:pPr>
    </w:p>
    <w:sectPr>
      <w:headerReference w:type="first" r:id="rId1"/>
      <w:headerReference w:type="default" r:id="rId2"/>
      <w:footerReference w:type="default" r:id="rId3"/>
      <w:type w:val="nextPage"/>
      <w:pgSz w:w="11906" w:h="16838"/>
      <w:pgMar w:top="1417" w:right="1417" w:bottom="1417" w:left="1417" w:header="720" w:footer="720" w:gutter="0"/>
      <w:pgBorders/>
      <w:pgNumType w:fmt="decimal"/>
      <w:cols w:num="1" w:equalWidth="1"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
    <w:family w:val="swiss"/>
    <w:pitch w:val="variable"/>
    <w:sig w:usb0="20000287" w:usb1="00000003" w:usb2="00000000" w:usb3="00000000" w:csb0="0000019F" w:csb1="00000000"/>
  </w:font>
  <w:font w:name="Times New Roman">
    <w:charset w:val="0"/>
    <w:family w:val="roman"/>
    <w:pitch w:val="variable"/>
    <w:sig w:usb0="E0002EFF" w:usb1="C000785B" w:usb2="00000009" w:usb3="00000000" w:csb0="000001FF" w:csb1="00000000"/>
  </w:font>
  <w:font w:name="Aptos Display">
    <w:charset w:val="0"/>
    <w:family w:val="swiss"/>
    <w:pitch w:val="variable"/>
    <w:sig w:usb0="20000287" w:usb1="00000003" w:usb2="00000000" w:usb3="00000000" w:csb0="0000019F" w:csb1="00000000"/>
  </w:font>
  <w:font w:name="Verdana">
    <w:charset w:val="0"/>
    <w:family w:val="swiss"/>
    <w:pitch w:val="variable"/>
    <w:sig w:usb0="A00006FF" w:usb1="4000205B" w:usb2="00000010" w:usb3="00000000" w:csb0="0000019F" w:csb1="00000000"/>
  </w:font>
  <w:font w:name="Arial">
    <w:charset w:val="0"/>
    <w:family w:val="swiss"/>
    <w:pitch w:val="variable"/>
    <w:sig w:usb0="E0002EFF" w:usb1="C000785B" w:usb2="00000009" w:usb3="00000000" w:csb0="000001FF" w:csb1="00000000"/>
  </w:font>
  <w:font w:name="Calibri">
    <w:charset w:val="0"/>
    <w:family w:val="swiss"/>
    <w:pitch w:val="variable"/>
    <w:sig w:usb0="E4002EFF" w:usb1="C200247B" w:usb2="00000009" w:usb3="00000000" w:csb0="000001FF" w:csb1="00000000"/>
  </w:font>
</w:fonts>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w="http://schemas.openxmlformats.org/wordprocessingml/2006/main" ve:Ignorable="w14 w15 wp14">
  <w:tbl>
    <w:tblPr>
      <w:tblStyle w:val="TableGrid_0baed1ce-a57f-47c1-a063-6a2daabd68a9"/>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4A0" w:firstRow="1" w:lastRow="0" w:firstColumn="1" w:lastColumn="0" w:noHBand="0" w:noVBand="1"/>
    </w:tblPr>
    <w:tblGrid>
      <w:gridCol w:w="4536"/>
      <w:gridCol w:w="45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4536"/>
          <w:tcBorders/>
        </w:tcPr>
        <w:p>
          <w:pPr>
            <w:pStyle w:val="TQM_DocxPublishingHeaderDocumentInfoStyleName_015032e2-b80b-4850-832c-9e420860bed6"/>
            <w:pBdr/>
            <w:spacing/>
            <w:rPr/>
          </w:pPr>
          <w:r>
            <w:rPr/>
            <w:t xml:space="preserve">31.08.2026 08:47:20 </w:t>
          </w:r>
        </w:p>
      </w:tc>
      <w:tc>
        <w:tcPr>
          <w:tcW w:type="dxa" w:w="4536"/>
          <w:tcBorders/>
        </w:tcPr>
        <w:p>
          <w:pPr>
            <w:pStyle w:val="TQM_DocxPublishingHeaderDocumentInfoStyleName_015032e2-b80b-4850-832c-9e420860bed6"/>
            <w:pBdr/>
            <w:spacing/>
            <w:jc w:val="right"/>
            <w:rPr/>
          </w:pPr>
          <w:r>
            <w:rPr>
              <w:rFonts w:ascii="Arial" w:hAnsi="Arial" w:eastAsia="Arial" w:cs="Arial"/>
              <w:sz w:val="14"/>
            </w:rPr>
            <w:fldChar w:fldCharType="begin"/>
          </w:r>
          <w:r>
            <w:rPr/>
            <w:instrText xml:space="preserve">PAGE Page</w:instrText>
          </w:r>
          <w:r>
            <w:rPr>
              <w:rFonts w:ascii="Arial" w:hAnsi="Arial" w:eastAsia="Arial" w:cs="Arial"/>
              <w:sz w:val="14"/>
            </w:rPr>
            <w:fldChar w:fldCharType="separate"/>
          </w:r>
          <w:r>
            <w:rPr/>
            <w:t xml:space="preserve">Page</w:t>
          </w:r>
          <w:r>
            <w:rPr>
              <w:rFonts w:ascii="Arial" w:hAnsi="Arial" w:eastAsia="Arial" w:cs="Arial"/>
              <w:sz w:val="14"/>
            </w:rPr>
            <w:fldChar w:fldCharType="end"/>
          </w:r>
          <w:r>
            <w:rPr>
              <w:rFonts w:ascii="Arial" w:hAnsi="Arial" w:eastAsia="Arial" w:cs="Arial"/>
              <w:sz w:val="14"/>
            </w:rPr>
            <w:t xml:space="preserve">/</w:t>
          </w:r>
          <w:r>
            <w:rPr>
              <w:rFonts w:ascii="Arial" w:hAnsi="Arial" w:eastAsia="Arial" w:cs="Arial"/>
              <w:sz w:val="14"/>
            </w:rPr>
            <w:fldChar w:fldCharType="begin"/>
          </w:r>
          <w:r>
            <w:rPr/>
            <w:instrText xml:space="preserve">NUMPAGES Page</w:instrText>
          </w:r>
          <w:r>
            <w:rPr>
              <w:rFonts w:ascii="Arial" w:hAnsi="Arial" w:eastAsia="Arial" w:cs="Arial"/>
              <w:sz w:val="14"/>
            </w:rPr>
            <w:fldChar w:fldCharType="separate"/>
          </w:r>
          <w:r>
            <w:rPr/>
            <w:t xml:space="preserve">Page</w:t>
          </w:r>
          <w:r>
            <w:rPr>
              <w:rFonts w:ascii="Arial" w:hAnsi="Arial" w:eastAsia="Arial" w:cs="Arial"/>
              <w:sz w:val="14"/>
            </w:rPr>
            <w:fldChar w:fldCharType="end"/>
          </w:r>
        </w:p>
      </w:tc>
    </w:tr>
  </w:tbl>
  <w:p>
    <w:pPr>
      <w:pStyle w:val="TQM_DocxPublishingHeaderDocumentInfoStyleName_015032e2-b80b-4850-832c-9e420860bed6"/>
      <w:pBdr/>
      <w:spacing w:before="100" w:after="100"/>
      <w:rPr/>
    </w:pPr>
    <w:r>
      <w:rPr/>
      <w:t xml:space="preserve">Gyldig dokument finnes i TQM. Utskrift er kun gyldig på utskriftstidspunkt.</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w="http://schemas.openxmlformats.org/wordprocessingml/2006/main" ve:Ignorable="w14 w15 wp14">
  <w:tbl>
    <w:tblPr>
      <w:tblStyle w:val="TableGrid_010f432d-f3bb-4bd1-8d32-0e23d2cb9fdc"/>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4A0" w:firstRow="1" w:lastRow="0" w:firstColumn="1" w:lastColumn="0" w:noHBand="0" w:noVBand="1"/>
    </w:tblPr>
    <w:tblGrid>
      <w:gridCol w:w="7351"/>
      <w:gridCol w:w="20"/>
      <w:gridCol w:w="17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type="dxa" w:w="7351"/>
          <w:tcBorders/>
        </w:tcPr>
        <w:p>
          <w:pPr>
            <w:pStyle w:val="TQM_DocxPublishingHeaderDocumentIDStyleName_0a401077-a2ab-43d1-ab0e-22189d8e8dfa"/>
            <w:pBdr/>
            <w:spacing w:after="40"/>
            <w:rPr/>
          </w:pPr>
          <w:r>
            <w:rPr/>
            <w:t xml:space="preserve">Dokument-ID: 366-2</w:t>
          </w:r>
        </w:p>
        <w:p>
          <w:pPr>
            <w:pStyle w:val="TQM_DocxPublishingHeaderDocumentNameStyleName_3e87ac21-077e-4ba3-95cc-a55579e22739"/>
            <w:pBdr/>
            <w:spacing w:line="300" w:lineRule="exact"/>
            <w:rPr/>
          </w:pPr>
          <w:r>
            <w:rPr/>
            <w:t xml:space="preserve">Tamtron AS Salgs og Leveringsbetingelser 2026</w:t>
          </w:r>
        </w:p>
      </w:tc>
      <w:tc>
        <w:tcPr>
          <w:tcW w:type="dxa" w:w="19"/>
          <w:tcBorders/>
        </w:tcPr>
        <w:p>
          <w:pPr>
            <w:pStyle w:val="Normal_ad510f31-9c08-4e01-a609-1591578695e7"/>
            <w:pBdr/>
            <w:spacing/>
            <w:rPr/>
          </w:pPr>
        </w:p>
      </w:tc>
      <w:tc>
        <w:tcPr>
          <w:tcW w:type="dxa" w:w="1701"/>
          <w:tcBorders/>
          <w:vAlign w:val="center"/>
        </w:tcPr>
        <w:p>
          <w:pPr>
            <w:pStyle w:val="Normal_ad510f31-9c08-4e01-a609-1591578695e7"/>
            <w:pBdr/>
            <w:spacing w:line="40" w:lineRule="auto"/>
            <w:ind w:left="40" w:right="0"/>
            <w:rPr/>
          </w:pPr>
          <w:r>
            <w:rPr/>
            <w:drawing>
              <wp:anchor distT="0" distB="0" distL="114300" distR="114300" simplePos="0" relativeHeight="5120" behindDoc="0" locked="0" layoutInCell="1" allowOverlap="1">
                <wp:simplePos x="0" y="0"/>
                <wp:positionH relativeFrom="margin">
                  <wp:posOffset>0</wp:posOffset>
                </wp:positionH>
                <wp:positionV relativeFrom="margin">
                  <wp:posOffset>0</wp:posOffset>
                </wp:positionV>
                <wp:extent cx="1107788" cy="355600"/>
                <wp:wrapNone/>
                <wp:docPr id="1" name="Picture 1"/>
                <a:graphic>
                  <a:graphicData uri="http://schemas.openxmlformats.org/drawingml/2006/picture">
                    <pic:pic>
                      <pic:nvPicPr>
                        <pic:cNvPr id="0" name="" descr=""/>
                        <pic:cNvPicPr>
                          <a:picLocks noChangeAspect="1" noChangeArrowheads="1"/>
                        </pic:cNvPicPr>
                      </pic:nvPicPr>
                      <pic:blipFill>
                        <a:blip r:embed="rId4"/>
                        <a:srcRect/>
                        <a:stretch>
                          <a:fillRect/>
                        </a:stretch>
                      </pic:blipFill>
                      <pic:spPr bwMode="auto">
                        <a:xfrm>
                          <a:off x="0" y="0"/>
                          <a:ext cx="1107788" cy="355600"/>
                        </a:xfrm>
                        <a:prstGeom prst="rect">
                          <a:avLst/>
                        </a:prstGeom>
                      </pic:spPr>
                    </pic:pic>
                  </a:graphicData>
                </a:graphic>
              </wp:anchor>
            </w:drawing>
          </w:r>
        </w:p>
      </w:tc>
    </w:tr>
  </w:tbl>
  <w:p>
    <w:pPr>
      <w:pStyle w:val="Normal_ad510f31-9c08-4e01-a609-1591578695e7"/>
      <w:pBdr/>
      <w:spacing w:before="20" w:after="20" w:line="20" w:lineRule="exact"/>
      <w:rPr/>
    </w:pPr>
  </w:p>
  <w:tbl>
    <w:tblPr>
      <w:tblStyle w:val="TableGrid_5b3da9eb-4bd8-4ae0-8d72-7e6f7bf84102"/>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4A0" w:firstRow="1" w:lastRow="0" w:firstColumn="1" w:lastColumn="0" w:noHBand="0" w:noVBand="1"/>
    </w:tblPr>
    <w:tblGrid>
      <w:gridCol w:w="5897"/>
      <w:gridCol w:w="31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5897"/>
          <w:tcBorders>
            <w:top w:val="single" w:color="auto" w:sz="4" w:space="0"/>
            <w:left w:val="none" w:color="auto" w:sz="0" w:space="0"/>
            <w:bottom w:val="single" w:color="auto" w:sz="4" w:space="0"/>
            <w:right w:val="none" w:color="auto" w:sz="0" w:space="0"/>
            <w:insideH w:val="none" w:color="auto" w:sz="0" w:space="0"/>
            <w:insideV w:val="none" w:color="auto" w:sz="0" w:space="0"/>
          </w:tcBorders>
        </w:tcPr>
        <w:tbl>
          <w:tblPr>
            <w:tblStyle w:val="TableGrid_596c2b77-0f79-410d-a9db-f2ae3da12748"/>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4A0" w:firstRow="1" w:lastRow="0" w:firstColumn="1" w:lastColumn="0" w:noHBand="0" w:noVBand="1"/>
          </w:tblPr>
          <w:tblGrid>
            <w:gridCol w:w="1680"/>
            <w:gridCol w:w="35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1680"/>
                <w:tcBorders/>
                <w:noWrap/>
              </w:tcPr>
              <w:p>
                <w:pPr>
                  <w:pStyle w:val="TQM_DocxPublishingHeaderDocumentInfoStyleName_015032e2-b80b-4850-832c-9e420860bed6"/>
                  <w:pBdr/>
                  <w:spacing/>
                  <w:rPr/>
                </w:pPr>
                <w:r>
                  <w:rPr>
                    <w:b/>
                  </w:rPr>
                  <w:t xml:space="preserve">Sted og prosess</w:t>
                </w:r>
              </w:p>
            </w:tc>
            <w:tc>
              <w:tcPr>
                <w:tcW w:type="dxa" w:w="3573"/>
                <w:tcBorders/>
                <w:noWrap/>
              </w:tcPr>
              <w:p>
                <w:pPr>
                  <w:pStyle w:val="TQM_DocxPublishingHeaderDocumentInfoStyleName_015032e2-b80b-4850-832c-9e420860bed6"/>
                  <w:pBdr/>
                  <w:spacing/>
                  <w:rPr/>
                </w:pPr>
                <w:r>
                  <w:rPr/>
                  <w:t xml:space="preserve">Tamtron / Salg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1680"/>
                <w:tcBorders/>
                <w:noWrap/>
              </w:tcPr>
              <w:p>
                <w:pPr>
                  <w:pStyle w:val="TQM_DocxPublishingHeaderDocumentInfoStyleName_015032e2-b80b-4850-832c-9e420860bed6"/>
                  <w:pBdr/>
                  <w:spacing/>
                  <w:rPr/>
                </w:pPr>
                <w:r>
                  <w:rPr>
                    <w:b/>
                  </w:rPr>
                  <w:t xml:space="preserve">Sist godkjent dato</w:t>
                </w:r>
              </w:p>
            </w:tc>
            <w:tc>
              <w:tcPr>
                <w:tcW w:type="dxa" w:w="3573"/>
                <w:tcBorders/>
                <w:noWrap/>
              </w:tcPr>
              <w:p>
                <w:pPr>
                  <w:pStyle w:val="TQM_DocxPublishingHeaderDocumentInfoStyleName_015032e2-b80b-4850-832c-9e420860bed6"/>
                  <w:pBdr/>
                  <w:spacing/>
                  <w:rPr/>
                </w:pPr>
                <w:r>
                  <w:rPr/>
                  <w:t xml:space="preserve">28.08.2026 (Andre Smith)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1680"/>
                <w:tcBorders/>
                <w:noWrap/>
              </w:tcPr>
              <w:p>
                <w:pPr>
                  <w:pStyle w:val="TQM_DocxPublishingHeaderDocumentInfoStyleName_015032e2-b80b-4850-832c-9e420860bed6"/>
                  <w:pBdr/>
                  <w:spacing/>
                  <w:rPr/>
                </w:pPr>
                <w:r>
                  <w:rPr>
                    <w:b/>
                  </w:rPr>
                  <w:t xml:space="preserve">Dato endret</w:t>
                </w:r>
              </w:p>
            </w:tc>
            <w:tc>
              <w:tcPr>
                <w:tcW w:type="dxa" w:w="3573"/>
                <w:tcBorders/>
                <w:noWrap/>
              </w:tcPr>
              <w:p>
                <w:pPr>
                  <w:pStyle w:val="TQM_DocxPublishingHeaderDocumentInfoStyleName_015032e2-b80b-4850-832c-9e420860bed6"/>
                  <w:pBdr/>
                  <w:spacing/>
                  <w:rPr/>
                </w:pPr>
                <w:r>
                  <w:rPr/>
                  <w:t xml:space="preserve">28.08.2026 (Tonje Martinsen)</w:t>
                </w:r>
              </w:p>
            </w:tc>
          </w:tr>
        </w:tbl>
        <w:p>
          <w:pPr>
            <w:pStyle w:val="Normal_ad510f31-9c08-4e01-a609-1591578695e7"/>
            <w:pBdr/>
            <w:spacing/>
            <w:rPr/>
          </w:pPr>
        </w:p>
      </w:tc>
      <w:tc>
        <w:tcPr>
          <w:tcW w:type="dxa" w:w="3175"/>
          <w:tcBorders>
            <w:top w:val="single" w:color="auto" w:sz="4" w:space="0"/>
            <w:left w:val="none" w:color="auto" w:sz="0" w:space="0"/>
            <w:bottom w:val="single" w:color="auto" w:sz="4" w:space="0"/>
            <w:right w:val="none" w:color="auto" w:sz="0" w:space="0"/>
            <w:insideH w:val="none" w:color="auto" w:sz="0" w:space="0"/>
            <w:insideV w:val="none" w:color="auto" w:sz="0" w:space="0"/>
          </w:tcBorders>
        </w:tcPr>
        <w:tbl>
          <w:tblPr>
            <w:tblStyle w:val="TableGrid_490986bb-a884-40cc-99fc-ddc203c7df04"/>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4A0" w:firstRow="1" w:lastRow="0" w:firstColumn="1" w:lastColumn="0" w:noHBand="0" w:noVBand="1"/>
          </w:tblPr>
          <w:tblGrid>
            <w:gridCol w:w="1760"/>
            <w:gridCol w:w="1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1760"/>
                <w:tcBorders/>
                <w:noWrap/>
              </w:tcPr>
              <w:p>
                <w:pPr>
                  <w:pStyle w:val="TQM_DocxPublishingHeaderDocumentInfoStyleName_015032e2-b80b-4850-832c-9e420860bed6"/>
                  <w:pBdr/>
                  <w:spacing/>
                  <w:rPr/>
                </w:pPr>
                <w:r>
                  <w:rPr>
                    <w:b/>
                  </w:rPr>
                  <w:t xml:space="preserve">Dokumentkategori</w:t>
                </w:r>
              </w:p>
            </w:tc>
            <w:tc>
              <w:tcPr>
                <w:tcW w:type="dxa" w:w="1440"/>
                <w:tcBorders/>
                <w:noWrap/>
              </w:tcPr>
              <w:p>
                <w:pPr>
                  <w:pStyle w:val="TQM_DocxPublishingHeaderDocumentInfoStyleName_015032e2-b80b-4850-832c-9e420860bed6"/>
                  <w:pBdr/>
                  <w:spacing/>
                  <w:rPr/>
                </w:pPr>
                <w:r>
                  <w:rPr/>
                  <w:t xml:space="preserve">Ledelse Dokumenter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1760"/>
                <w:tcBorders/>
                <w:noWrap/>
              </w:tcPr>
              <w:p>
                <w:pPr>
                  <w:pStyle w:val="TQM_DocxPublishingHeaderDocumentInfoStyleName_015032e2-b80b-4850-832c-9e420860bed6"/>
                  <w:pBdr/>
                  <w:spacing/>
                  <w:rPr/>
                </w:pPr>
                <w:r>
                  <w:rPr>
                    <w:b/>
                  </w:rPr>
                  <w:t xml:space="preserve">Dokumentansvarlig</w:t>
                </w:r>
              </w:p>
            </w:tc>
            <w:tc>
              <w:tcPr>
                <w:tcW w:type="dxa" w:w="1440"/>
                <w:tcBorders/>
                <w:noWrap/>
              </w:tcPr>
              <w:p>
                <w:pPr>
                  <w:pStyle w:val="TQM_DocxPublishingHeaderDocumentInfoStyleName_015032e2-b80b-4850-832c-9e420860bed6"/>
                  <w:pBdr/>
                  <w:spacing/>
                  <w:rPr/>
                </w:pPr>
                <w:r>
                  <w:rPr/>
                  <w:t xml:space="preserve">Steinar Olsen</w:t>
                </w:r>
              </w:p>
            </w:tc>
          </w:tr>
        </w:tbl>
        <w:p>
          <w:pPr>
            <w:pStyle w:val="Normal_ad510f31-9c08-4e01-a609-1591578695e7"/>
            <w:pBdr/>
            <w:spacing/>
            <w:rPr/>
          </w:pPr>
        </w:p>
      </w:tc>
    </w:tr>
  </w:tbl>
  <w:p>
    <w:pPr>
      <w:pStyle w:val="Normal_ad510f31-9c08-4e01-a609-1591578695e7"/>
      <w:pBdr/>
      <w:spacing w:before="40" w:after="40" w:line="40" w:lineRule="exact"/>
      <w:rPr/>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w="http://schemas.openxmlformats.org/wordprocessingml/2006/main" ve:Ignorable="w14 w15 wp14">
  <w:tbl>
    <w:tblPr>
      <w:tblStyle w:val="TableGrid_319d409e-9bda-459d-8c23-22450692023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4A0" w:firstRow="1" w:lastRow="0" w:firstColumn="1" w:lastColumn="0" w:noHBand="0" w:noVBand="1"/>
    </w:tblPr>
    <w:tblGrid>
      <w:gridCol w:w="7351"/>
      <w:gridCol w:w="20"/>
      <w:gridCol w:w="17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type="dxa" w:w="7351"/>
          <w:tcBorders/>
        </w:tcPr>
        <w:p>
          <w:pPr>
            <w:pStyle w:val="TQM_DocxPublishingHeaderDocumentIDStyleName_0a401077-a2ab-43d1-ab0e-22189d8e8dfa"/>
            <w:pBdr/>
            <w:spacing w:after="40"/>
            <w:rPr/>
          </w:pPr>
          <w:r>
            <w:rPr/>
            <w:t xml:space="preserve">Dokument-ID: 366-2</w:t>
          </w:r>
        </w:p>
        <w:p>
          <w:pPr>
            <w:pStyle w:val="TQM_DocxPublishingHeaderDocumentNameStyleName_3e87ac21-077e-4ba3-95cc-a55579e22739"/>
            <w:pBdr/>
            <w:spacing w:line="300" w:lineRule="exact"/>
            <w:rPr/>
          </w:pPr>
          <w:r>
            <w:rPr/>
            <w:t xml:space="preserve">Tamtron AS Salgs og Leveringsbetingelser 2026</w:t>
          </w:r>
        </w:p>
      </w:tc>
      <w:tc>
        <w:tcPr>
          <w:tcW w:type="dxa" w:w="19"/>
          <w:tcBorders/>
        </w:tcPr>
        <w:p>
          <w:pPr>
            <w:pStyle w:val="Normal_ad510f31-9c08-4e01-a609-1591578695e7"/>
            <w:pBdr/>
            <w:spacing/>
            <w:rPr/>
          </w:pPr>
        </w:p>
      </w:tc>
      <w:tc>
        <w:tcPr>
          <w:tcW w:type="dxa" w:w="1701"/>
          <w:tcBorders/>
          <w:vAlign w:val="center"/>
        </w:tcPr>
        <w:p>
          <w:pPr>
            <w:pStyle w:val="Normal_ad510f31-9c08-4e01-a609-1591578695e7"/>
            <w:pBdr/>
            <w:spacing w:line="40" w:lineRule="auto"/>
            <w:ind w:left="40" w:right="0"/>
            <w:rPr/>
          </w:pPr>
          <w:r>
            <w:rPr/>
            <w:drawing>
              <wp:anchor distT="0" distB="0" distL="114300" distR="114300" simplePos="0" relativeHeight="3072" behindDoc="0" locked="0" layoutInCell="1" allowOverlap="1">
                <wp:simplePos x="0" y="0"/>
                <wp:positionH relativeFrom="margin">
                  <wp:posOffset>0</wp:posOffset>
                </wp:positionH>
                <wp:positionV relativeFrom="margin">
                  <wp:posOffset>0</wp:posOffset>
                </wp:positionV>
                <wp:extent cx="1107788" cy="355600"/>
                <wp:wrapNone/>
                <wp:docPr id="2" name="Picture 1"/>
                <a:graphic>
                  <a:graphicData uri="http://schemas.openxmlformats.org/drawingml/2006/picture">
                    <pic:pic>
                      <pic:nvPicPr>
                        <pic:cNvPr id="0" name="" descr=""/>
                        <pic:cNvPicPr>
                          <a:picLocks noChangeAspect="1" noChangeArrowheads="1"/>
                        </pic:cNvPicPr>
                      </pic:nvPicPr>
                      <pic:blipFill>
                        <a:blip r:embed="rId5"/>
                        <a:srcRect/>
                        <a:stretch>
                          <a:fillRect/>
                        </a:stretch>
                      </pic:blipFill>
                      <pic:spPr bwMode="auto">
                        <a:xfrm>
                          <a:off x="0" y="0"/>
                          <a:ext cx="1107788" cy="355600"/>
                        </a:xfrm>
                        <a:prstGeom prst="rect">
                          <a:avLst/>
                        </a:prstGeom>
                      </pic:spPr>
                    </pic:pic>
                  </a:graphicData>
                </a:graphic>
              </wp:anchor>
            </w:drawing>
          </w:r>
        </w:p>
      </w:tc>
    </w:tr>
  </w:tbl>
  <w:p>
    <w:pPr>
      <w:pStyle w:val="Normal_ad510f31-9c08-4e01-a609-1591578695e7"/>
      <w:pBdr/>
      <w:spacing w:before="20" w:after="20" w:line="20" w:lineRule="exact"/>
      <w:rPr/>
    </w:pPr>
  </w:p>
  <w:tbl>
    <w:tblPr>
      <w:tblStyle w:val="TableGrid_057023e7-1267-420b-b177-d985895e67b3"/>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4A0" w:firstRow="1" w:lastRow="0" w:firstColumn="1" w:lastColumn="0" w:noHBand="0" w:noVBand="1"/>
    </w:tblPr>
    <w:tblGrid>
      <w:gridCol w:w="5897"/>
      <w:gridCol w:w="31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5897"/>
          <w:tcBorders>
            <w:top w:val="single" w:color="auto" w:sz="4" w:space="0"/>
            <w:left w:val="none" w:color="auto" w:sz="0" w:space="0"/>
            <w:bottom w:val="single" w:color="auto" w:sz="4" w:space="0"/>
            <w:right w:val="none" w:color="auto" w:sz="0" w:space="0"/>
            <w:insideH w:val="none" w:color="auto" w:sz="0" w:space="0"/>
            <w:insideV w:val="none" w:color="auto" w:sz="0" w:space="0"/>
          </w:tcBorders>
        </w:tcPr>
        <w:tbl>
          <w:tblPr>
            <w:tblStyle w:val="TableGrid_6aead81a-a110-4958-8eb8-2fa9574c9af1"/>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4A0" w:firstRow="1" w:lastRow="0" w:firstColumn="1" w:lastColumn="0" w:noHBand="0" w:noVBand="1"/>
          </w:tblPr>
          <w:tblGrid>
            <w:gridCol w:w="1680"/>
            <w:gridCol w:w="35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1680"/>
                <w:tcBorders/>
                <w:noWrap/>
              </w:tcPr>
              <w:p>
                <w:pPr>
                  <w:pStyle w:val="TQM_DocxPublishingHeaderDocumentInfoStyleName_015032e2-b80b-4850-832c-9e420860bed6"/>
                  <w:pBdr/>
                  <w:spacing/>
                  <w:rPr/>
                </w:pPr>
                <w:r>
                  <w:rPr>
                    <w:b/>
                  </w:rPr>
                  <w:t xml:space="preserve">Sted og prosess</w:t>
                </w:r>
              </w:p>
            </w:tc>
            <w:tc>
              <w:tcPr>
                <w:tcW w:type="dxa" w:w="3573"/>
                <w:tcBorders/>
                <w:noWrap/>
              </w:tcPr>
              <w:p>
                <w:pPr>
                  <w:pStyle w:val="TQM_DocxPublishingHeaderDocumentInfoStyleName_015032e2-b80b-4850-832c-9e420860bed6"/>
                  <w:pBdr/>
                  <w:spacing/>
                  <w:rPr/>
                </w:pPr>
                <w:r>
                  <w:rPr/>
                  <w:t xml:space="preserve">Tamtron / Salg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1680"/>
                <w:tcBorders/>
                <w:noWrap/>
              </w:tcPr>
              <w:p>
                <w:pPr>
                  <w:pStyle w:val="TQM_DocxPublishingHeaderDocumentInfoStyleName_015032e2-b80b-4850-832c-9e420860bed6"/>
                  <w:pBdr/>
                  <w:spacing/>
                  <w:rPr/>
                </w:pPr>
                <w:r>
                  <w:rPr>
                    <w:b/>
                  </w:rPr>
                  <w:t xml:space="preserve">Sist godkjent dato</w:t>
                </w:r>
              </w:p>
            </w:tc>
            <w:tc>
              <w:tcPr>
                <w:tcW w:type="dxa" w:w="3573"/>
                <w:tcBorders/>
                <w:noWrap/>
              </w:tcPr>
              <w:p>
                <w:pPr>
                  <w:pStyle w:val="TQM_DocxPublishingHeaderDocumentInfoStyleName_015032e2-b80b-4850-832c-9e420860bed6"/>
                  <w:pBdr/>
                  <w:spacing/>
                  <w:rPr/>
                </w:pPr>
                <w:r>
                  <w:rPr/>
                  <w:t xml:space="preserve">28.08.2026 (Andre Smith)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1680"/>
                <w:tcBorders/>
                <w:noWrap/>
              </w:tcPr>
              <w:p>
                <w:pPr>
                  <w:pStyle w:val="TQM_DocxPublishingHeaderDocumentInfoStyleName_015032e2-b80b-4850-832c-9e420860bed6"/>
                  <w:pBdr/>
                  <w:spacing/>
                  <w:rPr/>
                </w:pPr>
                <w:r>
                  <w:rPr>
                    <w:b/>
                  </w:rPr>
                  <w:t xml:space="preserve">Dato endret</w:t>
                </w:r>
              </w:p>
            </w:tc>
            <w:tc>
              <w:tcPr>
                <w:tcW w:type="dxa" w:w="3573"/>
                <w:tcBorders/>
                <w:noWrap/>
              </w:tcPr>
              <w:p>
                <w:pPr>
                  <w:pStyle w:val="TQM_DocxPublishingHeaderDocumentInfoStyleName_015032e2-b80b-4850-832c-9e420860bed6"/>
                  <w:pBdr/>
                  <w:spacing/>
                  <w:rPr/>
                </w:pPr>
                <w:r>
                  <w:rPr/>
                  <w:t xml:space="preserve">28.08.2026 (Tonje Martinsen)</w:t>
                </w:r>
              </w:p>
            </w:tc>
          </w:tr>
        </w:tbl>
        <w:p>
          <w:pPr>
            <w:pStyle w:val="Normal_ad510f31-9c08-4e01-a609-1591578695e7"/>
            <w:pBdr/>
            <w:spacing/>
            <w:rPr/>
          </w:pPr>
        </w:p>
      </w:tc>
      <w:tc>
        <w:tcPr>
          <w:tcW w:type="dxa" w:w="3175"/>
          <w:tcBorders>
            <w:top w:val="single" w:color="auto" w:sz="4" w:space="0"/>
            <w:left w:val="none" w:color="auto" w:sz="0" w:space="0"/>
            <w:bottom w:val="single" w:color="auto" w:sz="4" w:space="0"/>
            <w:right w:val="none" w:color="auto" w:sz="0" w:space="0"/>
            <w:insideH w:val="none" w:color="auto" w:sz="0" w:space="0"/>
            <w:insideV w:val="none" w:color="auto" w:sz="0" w:space="0"/>
          </w:tcBorders>
        </w:tcPr>
        <w:tbl>
          <w:tblPr>
            <w:tblStyle w:val="TableGrid_97d5faba-07c7-4b78-9e4c-a13eb6029963"/>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4A0" w:firstRow="1" w:lastRow="0" w:firstColumn="1" w:lastColumn="0" w:noHBand="0" w:noVBand="1"/>
          </w:tblPr>
          <w:tblGrid>
            <w:gridCol w:w="1760"/>
            <w:gridCol w:w="1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1760"/>
                <w:tcBorders/>
                <w:noWrap/>
              </w:tcPr>
              <w:p>
                <w:pPr>
                  <w:pStyle w:val="TQM_DocxPublishingHeaderDocumentInfoStyleName_015032e2-b80b-4850-832c-9e420860bed6"/>
                  <w:pBdr/>
                  <w:spacing/>
                  <w:rPr/>
                </w:pPr>
                <w:r>
                  <w:rPr>
                    <w:b/>
                  </w:rPr>
                  <w:t xml:space="preserve">Dokumentkategori</w:t>
                </w:r>
              </w:p>
            </w:tc>
            <w:tc>
              <w:tcPr>
                <w:tcW w:type="dxa" w:w="1440"/>
                <w:tcBorders/>
                <w:noWrap/>
              </w:tcPr>
              <w:p>
                <w:pPr>
                  <w:pStyle w:val="TQM_DocxPublishingHeaderDocumentInfoStyleName_015032e2-b80b-4850-832c-9e420860bed6"/>
                  <w:pBdr/>
                  <w:spacing/>
                  <w:rPr/>
                </w:pPr>
                <w:r>
                  <w:rPr/>
                  <w:t xml:space="preserve">Ledelse Dokumenter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1760"/>
                <w:tcBorders/>
                <w:noWrap/>
              </w:tcPr>
              <w:p>
                <w:pPr>
                  <w:pStyle w:val="TQM_DocxPublishingHeaderDocumentInfoStyleName_015032e2-b80b-4850-832c-9e420860bed6"/>
                  <w:pBdr/>
                  <w:spacing/>
                  <w:rPr/>
                </w:pPr>
                <w:r>
                  <w:rPr>
                    <w:b/>
                  </w:rPr>
                  <w:t xml:space="preserve">Dokumentansvarlig</w:t>
                </w:r>
              </w:p>
            </w:tc>
            <w:tc>
              <w:tcPr>
                <w:tcW w:type="dxa" w:w="1440"/>
                <w:tcBorders/>
                <w:noWrap/>
              </w:tcPr>
              <w:p>
                <w:pPr>
                  <w:pStyle w:val="TQM_DocxPublishingHeaderDocumentInfoStyleName_015032e2-b80b-4850-832c-9e420860bed6"/>
                  <w:pBdr/>
                  <w:spacing/>
                  <w:rPr/>
                </w:pPr>
                <w:r>
                  <w:rPr/>
                  <w:t xml:space="preserve">Steinar Olsen</w:t>
                </w:r>
              </w:p>
            </w:tc>
          </w:tr>
        </w:tbl>
        <w:p>
          <w:pPr>
            <w:pStyle w:val="Normal_ad510f31-9c08-4e01-a609-1591578695e7"/>
            <w:pBdr/>
            <w:spacing/>
            <w:rPr/>
          </w:pPr>
        </w:p>
      </w:tc>
    </w:tr>
  </w:tbl>
  <w:p>
    <w:pPr>
      <w:pStyle w:val="Normal_ad510f31-9c08-4e01-a609-1591578695e7"/>
      <w:pBdr/>
      <w:spacing w:before="40" w:after="40" w:line="40" w:lineRule="exac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sl="http://schemas.openxmlformats.org/schemaLibrary/2006/main" xmlns:w="http://schemas.openxmlformats.org/wordprocessingml/2006/main" mc:Ignorable="w14 w15">
  <w:zoom w:val="none"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val="1"/>
    <m:lMargin m:val="0"/>
    <m:rMargin m:val="0"/>
    <m:defJc m:val="centerGroup"/>
    <m:wrapIndent m:val="1440"/>
    <m:intLim m:val="subSup"/>
    <m:naryLim m:val="undOvr"/>
  </m:mathPr>
  <w:themeFontLang w:val="nb-NO"/>
  <w:clrSchemeMapping xmlns:w="http://schemas.openxmlformats.org/wordprocessingml/2006/main" w:bg1="light1" w:t1="dark1" w:bg2="light2" w:t2="dark2" w:accent1="accent1" w:accent2="accent2" w:accent3="accent3" w:accent4="accent4" w:accent5="accent5" w:accent6="accent6" w:hyperlink="hyperlink" w:followedHyperlink="followedHyperlink"/>
  <w:decimalSymbol xmlns:w="http://schemas.openxmlformats.org/wordprocessingml/2006/main" w:val=","/>
  <w:listSeparator xmlns:w="http://schemas.openxmlformats.org/wordprocessingml/2006/main"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kern w:val="2"/>
        <w:sz w:val="22"/>
        <w:szCs w:val="22"/>
        <w:lang w:val="nb-NO" w:eastAsia="en-US" w:bidi="ar-SA"/>
        <w14:ligatures w14:val="standardContextual"/>
      </w:rPr>
    </w:rPrDefault>
    <w:pPrDefault>
      <w:pPr>
        <w:spacing w:after="160" w:line="259" w:lineRule="auto"/>
      </w:pPr>
    </w:pPrDefault>
  </w:docDefaults>
  <w:latentStyles xmlns:w="http://schemas.openxmlformats.org/wordprocessingml/2006/main"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pPr>
    <w:rPr/>
  </w:style>
  <w:style w:type="paragraph" w:styleId="Overskrift1">
    <w:name w:val="Heading 1"/>
    <w:basedOn w:val="Normal"/>
    <w:next w:val="Normal"/>
    <w:link w:val="Overskrift1Tegn"/>
    <w:uiPriority w:val="9"/>
    <w:qFormat/>
    <w:pPr>
      <w:keepNext/>
      <w:keepLines/>
      <w:spacing w:before="360" w:after="80"/>
      <w:outlineLvl w:val="0"/>
    </w:pPr>
    <w:rPr>
      <w:rFonts w:asciiTheme="majorHAnsi" w:hAnsiTheme="majorHAnsi" w:eastAsiaTheme="majorEastAsia" w:cstheme="majorBidi"/>
      <w:color w:val="0F4761"/>
      <w:sz w:val="40"/>
      <w:szCs w:val="40"/>
    </w:rPr>
  </w:style>
  <w:style w:type="paragraph" w:styleId="Overskrift2">
    <w:name w:val="Heading 2"/>
    <w:basedOn w:val="Normal"/>
    <w:next w:val="Normal"/>
    <w:link w:val="Overskrift2Tegn"/>
    <w:uiPriority w:val="9"/>
    <w:semiHidden/>
    <w:unhideWhenUsed/>
    <w:qFormat/>
    <w:pPr>
      <w:keepNext/>
      <w:keepLines/>
      <w:spacing w:before="160" w:after="80"/>
      <w:outlineLvl w:val="1"/>
    </w:pPr>
    <w:rPr>
      <w:rFonts w:asciiTheme="majorHAnsi" w:hAnsiTheme="majorHAnsi" w:eastAsiaTheme="majorEastAsia" w:cstheme="majorBidi"/>
      <w:color w:val="0F4761"/>
      <w:sz w:val="32"/>
      <w:szCs w:val="32"/>
    </w:rPr>
  </w:style>
  <w:style w:type="paragraph" w:styleId="Overskrift3">
    <w:name w:val="Heading 3"/>
    <w:basedOn w:val="Normal"/>
    <w:next w:val="Normal"/>
    <w:link w:val="Overskrift3Tegn"/>
    <w:uiPriority w:val="9"/>
    <w:semiHidden/>
    <w:unhideWhenUsed/>
    <w:qFormat/>
    <w:pPr>
      <w:keepNext/>
      <w:keepLines/>
      <w:spacing w:before="160" w:after="80"/>
      <w:outlineLvl w:val="2"/>
    </w:pPr>
    <w:rPr>
      <w:rFonts w:eastAsiaTheme="majorEastAsia" w:cstheme="majorBidi"/>
      <w:color w:val="0F4761"/>
      <w:sz w:val="28"/>
      <w:szCs w:val="28"/>
    </w:rPr>
  </w:style>
  <w:style w:type="paragraph" w:styleId="Overskrift4">
    <w:name w:val="Heading 4"/>
    <w:basedOn w:val="Normal"/>
    <w:next w:val="Normal"/>
    <w:link w:val="Overskrift4Tegn"/>
    <w:uiPriority w:val="9"/>
    <w:semiHidden/>
    <w:unhideWhenUsed/>
    <w:qFormat/>
    <w:pPr>
      <w:keepNext/>
      <w:keepLines/>
      <w:spacing w:before="80" w:after="40"/>
      <w:outlineLvl w:val="3"/>
    </w:pPr>
    <w:rPr>
      <w:rFonts w:eastAsiaTheme="majorEastAsia" w:cstheme="majorBidi"/>
      <w:i/>
      <w:iCs/>
      <w:color w:val="0F4761"/>
    </w:rPr>
  </w:style>
  <w:style w:type="paragraph" w:styleId="Overskrift5">
    <w:name w:val="Heading 5"/>
    <w:basedOn w:val="Normal"/>
    <w:next w:val="Normal"/>
    <w:link w:val="Overskrift5Tegn"/>
    <w:uiPriority w:val="9"/>
    <w:semiHidden/>
    <w:unhideWhenUsed/>
    <w:qFormat/>
    <w:pPr>
      <w:keepNext/>
      <w:keepLines/>
      <w:spacing w:before="80" w:after="40"/>
      <w:outlineLvl w:val="4"/>
    </w:pPr>
    <w:rPr>
      <w:rFonts w:eastAsiaTheme="majorEastAsia" w:cstheme="majorBidi"/>
      <w:color w:val="0F4761"/>
    </w:rPr>
  </w:style>
  <w:style w:type="paragraph" w:styleId="Overskrift6">
    <w:name w:val="Heading 6"/>
    <w:basedOn w:val="Normal"/>
    <w:next w:val="Normal"/>
    <w:link w:val="Overskrift6Tegn"/>
    <w:uiPriority w:val="9"/>
    <w:semiHidden/>
    <w:unhideWhenUsed/>
    <w:qFormat/>
    <w:pPr>
      <w:keepNext/>
      <w:keepLines/>
      <w:spacing w:before="40" w:after="0"/>
      <w:outlineLvl w:val="5"/>
    </w:pPr>
    <w:rPr>
      <w:rFonts w:eastAsiaTheme="majorEastAsia" w:cstheme="majorBidi"/>
      <w:i/>
      <w:iCs/>
      <w:color w:val="595959"/>
    </w:rPr>
  </w:style>
  <w:style w:type="paragraph" w:styleId="Overskrift7">
    <w:name w:val="Heading 7"/>
    <w:basedOn w:val="Normal"/>
    <w:next w:val="Normal"/>
    <w:link w:val="Overskrift7Tegn"/>
    <w:uiPriority w:val="9"/>
    <w:semiHidden/>
    <w:unhideWhenUsed/>
    <w:qFormat/>
    <w:pPr>
      <w:keepNext/>
      <w:keepLines/>
      <w:spacing w:before="40" w:after="0"/>
      <w:outlineLvl w:val="6"/>
    </w:pPr>
    <w:rPr>
      <w:rFonts w:eastAsiaTheme="majorEastAsia" w:cstheme="majorBidi"/>
      <w:color w:val="595959"/>
    </w:rPr>
  </w:style>
  <w:style w:type="paragraph" w:styleId="Overskrift8">
    <w:name w:val="Heading 8"/>
    <w:basedOn w:val="Normal"/>
    <w:next w:val="Normal"/>
    <w:link w:val="Overskrift8Tegn"/>
    <w:uiPriority w:val="9"/>
    <w:semiHidden/>
    <w:unhideWhenUsed/>
    <w:qFormat/>
    <w:pPr>
      <w:keepNext/>
      <w:keepLines/>
      <w:spacing w:after="0"/>
      <w:outlineLvl w:val="7"/>
    </w:pPr>
    <w:rPr>
      <w:rFonts w:eastAsiaTheme="majorEastAsia" w:cstheme="majorBidi"/>
      <w:i/>
      <w:iCs/>
      <w:color w:val="272727"/>
    </w:rPr>
  </w:style>
  <w:style w:type="paragraph" w:styleId="Overskrift9">
    <w:name w:val="Heading 9"/>
    <w:basedOn w:val="Normal"/>
    <w:next w:val="Normal"/>
    <w:link w:val="Overskrift9Tegn"/>
    <w:uiPriority w:val="9"/>
    <w:semiHidden/>
    <w:unhideWhenUsed/>
    <w:qFormat/>
    <w:pPr>
      <w:keepNext/>
      <w:keepLines/>
      <w:spacing w:after="0"/>
      <w:outlineLvl w:val="8"/>
    </w:pPr>
    <w:rPr>
      <w:rFonts w:eastAsiaTheme="majorEastAsia" w:cstheme="majorBidi"/>
      <w:color w:val="272727"/>
    </w:rPr>
  </w:style>
  <w:style w:type="character" w:styleId="Standardskriftforavsnitt" w:default="1">
    <w:name w:val="Default Paragraph Font"/>
    <w:uiPriority w:val="1"/>
    <w:semiHidden/>
    <w:unhideWhenUsed/>
    <w:rPr/>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name w:val="No List"/>
    <w:uiPriority w:val="99"/>
    <w:semiHidden/>
    <w:unhideWhenUsed/>
  </w:style>
  <w:style w:type="character" w:styleId="Overskrift1Tegn" w:customStyle="1">
    <w:name w:val="Overskrift 1 Tegn"/>
    <w:basedOn w:val="Standardskriftforavsnitt"/>
    <w:link w:val="Heading1"/>
    <w:uiPriority w:val="9"/>
    <w:rPr>
      <w:rFonts w:asciiTheme="majorHAnsi" w:hAnsiTheme="majorHAnsi" w:eastAsiaTheme="majorEastAsia" w:cstheme="majorBidi"/>
      <w:color w:val="0F4761"/>
      <w:sz w:val="40"/>
      <w:szCs w:val="40"/>
    </w:rPr>
  </w:style>
  <w:style w:type="character" w:styleId="Overskrift2Tegn" w:customStyle="1">
    <w:name w:val="Overskrift 2 Tegn"/>
    <w:basedOn w:val="Standardskriftforavsnitt"/>
    <w:link w:val="Heading2"/>
    <w:uiPriority w:val="9"/>
    <w:semiHidden/>
    <w:rPr>
      <w:rFonts w:asciiTheme="majorHAnsi" w:hAnsiTheme="majorHAnsi" w:eastAsiaTheme="majorEastAsia" w:cstheme="majorBidi"/>
      <w:color w:val="0F4761"/>
      <w:sz w:val="32"/>
      <w:szCs w:val="32"/>
    </w:rPr>
  </w:style>
  <w:style w:type="character" w:styleId="Overskrift3Tegn" w:customStyle="1">
    <w:name w:val="Overskrift 3 Tegn"/>
    <w:basedOn w:val="Standardskriftforavsnitt"/>
    <w:link w:val="Heading3"/>
    <w:uiPriority w:val="9"/>
    <w:semiHidden/>
    <w:rPr>
      <w:rFonts w:eastAsiaTheme="majorEastAsia" w:cstheme="majorBidi"/>
      <w:color w:val="0F4761"/>
      <w:sz w:val="28"/>
      <w:szCs w:val="28"/>
    </w:rPr>
  </w:style>
  <w:style w:type="character" w:styleId="Overskrift4Tegn" w:customStyle="1">
    <w:name w:val="Overskrift 4 Tegn"/>
    <w:basedOn w:val="Standardskriftforavsnitt"/>
    <w:link w:val="Heading4"/>
    <w:uiPriority w:val="9"/>
    <w:semiHidden/>
    <w:rPr>
      <w:rFonts w:eastAsiaTheme="majorEastAsia" w:cstheme="majorBidi"/>
      <w:i/>
      <w:iCs/>
      <w:color w:val="0F4761"/>
    </w:rPr>
  </w:style>
  <w:style w:type="character" w:styleId="Overskrift5Tegn" w:customStyle="1">
    <w:name w:val="Overskrift 5 Tegn"/>
    <w:basedOn w:val="Standardskriftforavsnitt"/>
    <w:link w:val="Heading5"/>
    <w:uiPriority w:val="9"/>
    <w:semiHidden/>
    <w:rPr>
      <w:rFonts w:eastAsiaTheme="majorEastAsia" w:cstheme="majorBidi"/>
      <w:color w:val="0F4761"/>
    </w:rPr>
  </w:style>
  <w:style w:type="character" w:styleId="Overskrift6Tegn" w:customStyle="1">
    <w:name w:val="Overskrift 6 Tegn"/>
    <w:basedOn w:val="Standardskriftforavsnitt"/>
    <w:link w:val="Heading6"/>
    <w:uiPriority w:val="9"/>
    <w:semiHidden/>
    <w:rPr>
      <w:rFonts w:eastAsiaTheme="majorEastAsia" w:cstheme="majorBidi"/>
      <w:i/>
      <w:iCs/>
      <w:color w:val="595959"/>
    </w:rPr>
  </w:style>
  <w:style w:type="character" w:styleId="Overskrift7Tegn" w:customStyle="1">
    <w:name w:val="Overskrift 7 Tegn"/>
    <w:basedOn w:val="Standardskriftforavsnitt"/>
    <w:link w:val="Heading7"/>
    <w:uiPriority w:val="9"/>
    <w:semiHidden/>
    <w:rPr>
      <w:rFonts w:eastAsiaTheme="majorEastAsia" w:cstheme="majorBidi"/>
      <w:color w:val="595959"/>
    </w:rPr>
  </w:style>
  <w:style w:type="character" w:styleId="Overskrift8Tegn" w:customStyle="1">
    <w:name w:val="Overskrift 8 Tegn"/>
    <w:basedOn w:val="Standardskriftforavsnitt"/>
    <w:link w:val="Heading8"/>
    <w:uiPriority w:val="9"/>
    <w:semiHidden/>
    <w:rPr>
      <w:rFonts w:eastAsiaTheme="majorEastAsia" w:cstheme="majorBidi"/>
      <w:i/>
      <w:iCs/>
      <w:color w:val="272727"/>
    </w:rPr>
  </w:style>
  <w:style w:type="character" w:styleId="Overskrift9Tegn" w:customStyle="1">
    <w:name w:val="Overskrift 9 Tegn"/>
    <w:basedOn w:val="Standardskriftforavsnitt"/>
    <w:link w:val="Heading9"/>
    <w:uiPriority w:val="9"/>
    <w:semiHidden/>
    <w:rPr>
      <w:rFonts w:eastAsiaTheme="majorEastAsia" w:cstheme="majorBidi"/>
      <w:color w:val="272727"/>
    </w:rPr>
  </w:style>
  <w:style w:type="paragraph" w:styleId="Tittel">
    <w:name w:val="Title"/>
    <w:basedOn w:val="Normal"/>
    <w:next w:val="Normal"/>
    <w:link w:val="TittelTegn"/>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TittelTegn" w:customStyle="1">
    <w:name w:val="Tittel Tegn"/>
    <w:basedOn w:val="Standardskriftforavsnitt"/>
    <w:link w:val="Title"/>
    <w:uiPriority w:val="10"/>
    <w:rPr>
      <w:rFonts w:asciiTheme="majorHAnsi" w:hAnsiTheme="majorHAnsi" w:eastAsiaTheme="majorEastAsia" w:cstheme="majorBidi"/>
      <w:spacing w:val="-10"/>
      <w:kern w:val="28"/>
      <w:sz w:val="56"/>
      <w:szCs w:val="56"/>
    </w:rPr>
  </w:style>
  <w:style w:type="paragraph" w:styleId="Undertittel">
    <w:name w:val="Subtitle"/>
    <w:basedOn w:val="Normal"/>
    <w:next w:val="Normal"/>
    <w:link w:val="UndertittelTegn"/>
    <w:uiPriority w:val="11"/>
    <w:qFormat/>
    <w:numPr>
      <w:ilvl w:val="1"/>
    </w:numPr>
    <w:pPr>
      <w:numPr>
        <w:ilvl w:val="1"/>
      </w:numPr>
      <w:spacing/>
    </w:pPr>
    <w:rPr>
      <w:rFonts w:eastAsiaTheme="majorEastAsia" w:cstheme="majorBidi"/>
      <w:color w:val="595959"/>
      <w:spacing w:val="15"/>
      <w:sz w:val="28"/>
      <w:szCs w:val="28"/>
    </w:rPr>
  </w:style>
  <w:style w:type="character" w:styleId="UndertittelTegn" w:customStyle="1">
    <w:name w:val="Undertittel Tegn"/>
    <w:basedOn w:val="Standardskriftforavsnitt"/>
    <w:link w:val="Subtitle"/>
    <w:uiPriority w:val="11"/>
    <w:rPr>
      <w:rFonts w:eastAsiaTheme="majorEastAsia" w:cstheme="majorBidi"/>
      <w:color w:val="595959"/>
      <w:spacing w:val="15"/>
      <w:sz w:val="28"/>
      <w:szCs w:val="28"/>
    </w:rPr>
  </w:style>
  <w:style w:type="paragraph" w:styleId="Sitat">
    <w:name w:val="Quote"/>
    <w:basedOn w:val="Normal"/>
    <w:next w:val="Normal"/>
    <w:link w:val="SitatTegn"/>
    <w:uiPriority w:val="29"/>
    <w:qFormat/>
    <w:pPr>
      <w:spacing w:before="160"/>
      <w:jc w:val="center"/>
    </w:pPr>
    <w:rPr>
      <w:i/>
      <w:iCs/>
      <w:color w:val="404040"/>
    </w:rPr>
  </w:style>
  <w:style w:type="character" w:styleId="SitatTegn" w:customStyle="1">
    <w:name w:val="Sitat Tegn"/>
    <w:basedOn w:val="Standardskriftforavsnitt"/>
    <w:link w:val="Quote"/>
    <w:uiPriority w:val="29"/>
    <w:rPr>
      <w:i/>
      <w:iCs/>
      <w:color w:val="404040"/>
    </w:rPr>
  </w:style>
  <w:style w:type="paragraph" w:styleId="Listeavsnitt">
    <w:name w:val="List Paragraph"/>
    <w:basedOn w:val="Normal"/>
    <w:uiPriority w:val="34"/>
    <w:qFormat/>
    <w:pPr>
      <w:spacing/>
      <w:ind w:left="720"/>
      <w:contextualSpacing/>
    </w:pPr>
    <w:rPr/>
  </w:style>
  <w:style w:type="character" w:styleId="Sterkutheving1" w:customStyle="1">
    <w:name w:val="Sterk utheving1"/>
    <w:basedOn w:val="Standardskriftforavsnitt"/>
    <w:uiPriority w:val="21"/>
    <w:qFormat/>
    <w:rPr>
      <w:i/>
      <w:iCs/>
      <w:color w:val="0F4761"/>
    </w:rPr>
  </w:style>
  <w:style w:type="paragraph" w:styleId="Sterktsitat1" w:customStyle="1">
    <w:name w:val="Sterkt sitat1"/>
    <w:basedOn w:val="Normal"/>
    <w:next w:val="Normal"/>
    <w:link w:val="SterktsitatTegn"/>
    <w:uiPriority w:val="30"/>
    <w:qFormat/>
    <w:pPr>
      <w:pBdr>
        <w:top w:val="single" w:color="0F4761" w:sz="4" w:space="10"/>
        <w:bottom w:val="single" w:color="0F4761" w:sz="4" w:space="10"/>
      </w:pBdr>
      <w:spacing w:before="360" w:after="360"/>
      <w:ind w:left="864" w:right="864"/>
      <w:jc w:val="center"/>
    </w:pPr>
    <w:rPr>
      <w:i/>
      <w:iCs/>
      <w:color w:val="0F4761"/>
    </w:rPr>
  </w:style>
  <w:style w:type="character" w:styleId="SterktsitatTegn" w:customStyle="1">
    <w:name w:val="Sterkt sitat Tegn"/>
    <w:basedOn w:val="Standardskriftforavsnitt"/>
    <w:link w:val="Sterktsitat1"/>
    <w:uiPriority w:val="30"/>
    <w:rPr>
      <w:i/>
      <w:iCs/>
      <w:color w:val="0F4761"/>
    </w:rPr>
  </w:style>
  <w:style w:type="character" w:styleId="Sterkreferanse1" w:customStyle="1">
    <w:name w:val="Sterk referanse1"/>
    <w:basedOn w:val="Standardskriftforavsnitt"/>
    <w:uiPriority w:val="32"/>
    <w:qFormat/>
    <w:rPr>
      <w:b/>
      <w:bCs/>
      <w:smallCaps/>
      <w:color w:val="0F4761"/>
      <w:spacing w:val="5"/>
    </w:rPr>
  </w:style>
  <w:style w:type="paragraph" w:styleId="Topptekst">
    <w:name w:val="Header"/>
    <w:basedOn w:val="Normal"/>
    <w:link w:val="TopptekstTegn"/>
    <w:uiPriority w:val="99"/>
    <w:unhideWhenUsed/>
    <w:pPr>
      <w:tabs>
        <w:tab w:val="center" w:pos="4536"/>
        <w:tab w:val="right" w:pos="9072"/>
      </w:tabs>
      <w:spacing w:after="0" w:line="240" w:lineRule="auto"/>
    </w:pPr>
    <w:rPr/>
  </w:style>
  <w:style w:type="character" w:styleId="TopptekstTegn" w:customStyle="1">
    <w:name w:val="Topptekst Tegn"/>
    <w:basedOn w:val="Standardskriftforavsnitt"/>
    <w:link w:val="Header"/>
    <w:uiPriority w:val="99"/>
    <w:rPr/>
  </w:style>
  <w:style w:type="paragraph" w:styleId="Bunntekst">
    <w:name w:val="Footer"/>
    <w:basedOn w:val="Normal"/>
    <w:link w:val="BunntekstTegn"/>
    <w:uiPriority w:val="99"/>
    <w:unhideWhenUsed/>
    <w:pPr>
      <w:tabs>
        <w:tab w:val="center" w:pos="4536"/>
        <w:tab w:val="right" w:pos="9072"/>
      </w:tabs>
      <w:spacing w:after="0" w:line="240" w:lineRule="auto"/>
    </w:pPr>
    <w:rPr/>
  </w:style>
  <w:style w:type="character" w:styleId="BunntekstTegn" w:customStyle="1">
    <w:name w:val="Bunntekst Tegn"/>
    <w:basedOn w:val="Standardskriftforavsnitt"/>
    <w:link w:val="Footer"/>
    <w:uiPriority w:val="99"/>
    <w:rPr/>
  </w:style>
  <w:style w:type="character" w:styleId="Hyperkobling">
    <w:name w:val="Hyperlink"/>
    <w:basedOn w:val="Standardskriftforavsnitt"/>
    <w:uiPriority w:val="99"/>
    <w:unhideWhenUsed/>
    <w:rPr>
      <w:color w:val="467886"/>
      <w:u w:val="single"/>
    </w:rPr>
  </w:style>
  <w:style w:type="character" w:styleId="Ulstomtale1" w:customStyle="1">
    <w:name w:val="Uløst omtale1"/>
    <w:basedOn w:val="Standardskriftforavsnitt"/>
    <w:uiPriority w:val="99"/>
    <w:semiHidden/>
    <w:unhideWhenUsed/>
    <w:rPr>
      <w:color w:val="605E5C"/>
      <w:shd w:val="clear" w:color="auto" w:fill="E1DFDD"/>
    </w:rPr>
  </w:style>
  <w:style w:type="paragraph" w:styleId="Normale214430a-9244-4653-879a-0fd3ed34d85d" w:customStyle="1">
    <w:name w:val="Normal_e214430a-9244-4653-879a-0fd3ed34d85d"/>
    <w:qFormat/>
    <w:pPr>
      <w:spacing/>
    </w:pPr>
    <w:rPr>
      <w:rFonts w:ascii="Verdana" w:hAnsi="Verdana" w:eastAsia="Verdana" w:cs="Verdana"/>
      <w:sz w:val="24"/>
    </w:rPr>
  </w:style>
  <w:style w:type="paragraph" w:styleId="TQMDocxPublishingHeaderDocumentInfoStyleName" w:customStyle="1">
    <w:name w:val="TQM_DocxPublishingHeaderDocumentInfoStyleName"/>
    <w:basedOn w:val="Normale214430a-9244-4653-879a-0fd3ed34d85d"/>
    <w:pPr>
      <w:spacing w:after="0" w:line="200" w:lineRule="exact"/>
    </w:pPr>
    <w:rPr>
      <w:rFonts w:ascii="Arial" w:hAnsi="Arial" w:eastAsia="Arial" w:cs="Arial"/>
      <w:sz w:val="14"/>
    </w:rPr>
  </w:style>
  <w:style w:type="table" w:styleId="NormalTablee95032c4-1a10-4440-b78f-e8ed38cdbfb9" w:customStyle="1">
    <w:name w:val="Normal Table_e95032c4-1a10-4440-b78f-e8ed38cdbfb9"/>
    <w:uiPriority w:val="99"/>
    <w:semiHidden/>
    <w:unhideWhenUsed/>
    <w:qFormat/>
    <w:tblPr>
      <w:tblInd w:w="0" w:type="dxa"/>
      <w:tblCellMar>
        <w:top w:w="0" w:type="dxa"/>
        <w:left w:w="108" w:type="dxa"/>
        <w:bottom w:w="0" w:type="dxa"/>
        <w:right w:w="108" w:type="dxa"/>
      </w:tblCellMar>
    </w:tblPr>
  </w:style>
  <w:style w:type="table" w:styleId="Tabellrutenett">
    <w:name w:val="Table Grid"/>
    <w:basedOn w:val="NormalTablee95032c4-1a10-4440-b78f-e8ed38cdbfb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QMDocxPublishingHeaderDocumentIDStyleName" w:customStyle="1">
    <w:name w:val="TQM_DocxPublishingHeaderDocumentIDStyleName"/>
    <w:basedOn w:val="Normale214430a-9244-4653-879a-0fd3ed34d85d"/>
    <w:pPr>
      <w:spacing w:after="0" w:line="200" w:lineRule="exact"/>
    </w:pPr>
    <w:rPr>
      <w:rFonts w:ascii="Arial" w:hAnsi="Arial" w:eastAsia="Arial" w:cs="Arial"/>
      <w:sz w:val="18"/>
    </w:rPr>
  </w:style>
  <w:style w:type="paragraph" w:styleId="TQMDocxPublishingHeaderDocumentNameStyleName" w:customStyle="1">
    <w:name w:val="TQM_DocxPublishingHeaderDocumentNameStyleName"/>
    <w:basedOn w:val="Normale214430a-9244-4653-879a-0fd3ed34d85d"/>
    <w:pPr>
      <w:spacing w:after="0" w:line="200" w:lineRule="exact"/>
    </w:pPr>
    <w:rPr>
      <w:rFonts w:ascii="Arial" w:hAnsi="Arial" w:eastAsia="Arial" w:cs="Arial"/>
      <w:b/>
    </w:rPr>
  </w:style>
  <w:style w:type="table" w:styleId="NormalTable924cee07-b8dd-49df-aee4-769f2e44634f" w:customStyle="1">
    <w:name w:val="Normal Table_924cee07-b8dd-49df-aee4-769f2e44634f"/>
    <w:uiPriority w:val="99"/>
    <w:semiHidden/>
    <w:unhideWhenUsed/>
    <w:qFormat/>
    <w:tblPr>
      <w:tblInd w:w="0" w:type="dxa"/>
      <w:tblCellMar>
        <w:top w:w="0" w:type="dxa"/>
        <w:left w:w="108" w:type="dxa"/>
        <w:bottom w:w="0" w:type="dxa"/>
        <w:right w:w="108" w:type="dxa"/>
      </w:tblCellMar>
    </w:tblPr>
  </w:style>
  <w:style w:type="table" w:styleId="TableGridece85be2-2ef8-437a-a212-fd2843636c21" w:customStyle="1">
    <w:name w:val="Table Grid_ece85be2-2ef8-437a-a212-fd2843636c21"/>
    <w:basedOn w:val="NormalTable924cee07-b8dd-49df-aee4-769f2e44634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9a64321a-580c-4e52-a4b9-a950e2bc8efa" w:customStyle="1">
    <w:name w:val="Normal Table_9a64321a-580c-4e52-a4b9-a950e2bc8efa"/>
    <w:uiPriority w:val="99"/>
    <w:semiHidden/>
    <w:unhideWhenUsed/>
    <w:qFormat/>
    <w:tblPr>
      <w:tblInd w:w="0" w:type="dxa"/>
      <w:tblCellMar>
        <w:top w:w="0" w:type="dxa"/>
        <w:left w:w="108" w:type="dxa"/>
        <w:bottom w:w="0" w:type="dxa"/>
        <w:right w:w="108" w:type="dxa"/>
      </w:tblCellMar>
    </w:tblPr>
  </w:style>
  <w:style w:type="table" w:styleId="TableGridb3b4dab1-1185-4863-9040-39e92245cbb1" w:customStyle="1">
    <w:name w:val="Table Grid_b3b4dab1-1185-4863-9040-39e92245cbb1"/>
    <w:basedOn w:val="NormalTable9a64321a-580c-4e52-a4b9-a950e2bc8ef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c9a664eb-07bf-48dc-9857-024c7707c2e9" w:customStyle="1">
    <w:name w:val="Normal Table_c9a664eb-07bf-48dc-9857-024c7707c2e9"/>
    <w:uiPriority w:val="99"/>
    <w:semiHidden/>
    <w:unhideWhenUsed/>
    <w:qFormat/>
    <w:tblPr>
      <w:tblInd w:w="0" w:type="dxa"/>
      <w:tblCellMar>
        <w:top w:w="0" w:type="dxa"/>
        <w:left w:w="108" w:type="dxa"/>
        <w:bottom w:w="0" w:type="dxa"/>
        <w:right w:w="108" w:type="dxa"/>
      </w:tblCellMar>
    </w:tblPr>
  </w:style>
  <w:style w:type="table" w:styleId="TableGridcb01bce4-8913-4116-98b2-30574bbecc36" w:customStyle="1">
    <w:name w:val="Table Grid_cb01bce4-8913-4116-98b2-30574bbecc36"/>
    <w:basedOn w:val="NormalTablec9a664eb-07bf-48dc-9857-024c7707c2e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2688cdc9-71ff-45ba-b018-ab8dedc28253" w:customStyle="1">
    <w:name w:val="Normal Table_2688cdc9-71ff-45ba-b018-ab8dedc28253"/>
    <w:uiPriority w:val="99"/>
    <w:semiHidden/>
    <w:unhideWhenUsed/>
    <w:qFormat/>
    <w:tblPr>
      <w:tblInd w:w="0" w:type="dxa"/>
      <w:tblCellMar>
        <w:top w:w="0" w:type="dxa"/>
        <w:left w:w="108" w:type="dxa"/>
        <w:bottom w:w="0" w:type="dxa"/>
        <w:right w:w="108" w:type="dxa"/>
      </w:tblCellMar>
    </w:tblPr>
  </w:style>
  <w:style w:type="table" w:styleId="TableGridcd300676-0ffa-43c2-95fe-5cb021ab7bfa" w:customStyle="1">
    <w:name w:val="Table Grid_cd300676-0ffa-43c2-95fe-5cb021ab7bfa"/>
    <w:basedOn w:val="NormalTable2688cdc9-71ff-45ba-b018-ab8dedc2825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fb6cdd32-5f0b-4af8-a04b-75b4cc788454" w:customStyle="1">
    <w:name w:val="Normal Table_fb6cdd32-5f0b-4af8-a04b-75b4cc788454"/>
    <w:uiPriority w:val="99"/>
    <w:semiHidden/>
    <w:unhideWhenUsed/>
    <w:qFormat/>
    <w:tblPr>
      <w:tblInd w:w="0" w:type="dxa"/>
      <w:tblCellMar>
        <w:top w:w="0" w:type="dxa"/>
        <w:left w:w="108" w:type="dxa"/>
        <w:bottom w:w="0" w:type="dxa"/>
        <w:right w:w="108" w:type="dxa"/>
      </w:tblCellMar>
    </w:tblPr>
  </w:style>
  <w:style w:type="table" w:styleId="TableGrid26f88585-73b2-4e8f-8f45-8e3478e60bb0" w:customStyle="1">
    <w:name w:val="Table Grid_26f88585-73b2-4e8f-8f45-8e3478e60bb0"/>
    <w:basedOn w:val="NormalTablefb6cdd32-5f0b-4af8-a04b-75b4cc78845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fd39ea4e-f11f-4ebb-9e1c-de56578ef875" w:customStyle="1">
    <w:name w:val="Normal Table_fd39ea4e-f11f-4ebb-9e1c-de56578ef875"/>
    <w:uiPriority w:val="99"/>
    <w:semiHidden/>
    <w:unhideWhenUsed/>
    <w:qFormat/>
    <w:tblPr>
      <w:tblInd w:w="0" w:type="dxa"/>
      <w:tblCellMar>
        <w:top w:w="0" w:type="dxa"/>
        <w:left w:w="108" w:type="dxa"/>
        <w:bottom w:w="0" w:type="dxa"/>
        <w:right w:w="108" w:type="dxa"/>
      </w:tblCellMar>
    </w:tblPr>
  </w:style>
  <w:style w:type="table" w:styleId="TableGridb5a74151-9d73-4df8-b0ee-7a06e00d63d1" w:customStyle="1">
    <w:name w:val="Table Grid_b5a74151-9d73-4df8-b0ee-7a06e00d63d1"/>
    <w:basedOn w:val="NormalTablefd39ea4e-f11f-4ebb-9e1c-de56578ef87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196fa978-d442-4e32-a20e-96eddbabd040" w:customStyle="1">
    <w:name w:val="Normal Table_196fa978-d442-4e32-a20e-96eddbabd040"/>
    <w:uiPriority w:val="99"/>
    <w:semiHidden/>
    <w:unhideWhenUsed/>
    <w:qFormat/>
    <w:tblPr>
      <w:tblInd w:w="0" w:type="dxa"/>
      <w:tblCellMar>
        <w:top w:w="0" w:type="dxa"/>
        <w:left w:w="108" w:type="dxa"/>
        <w:bottom w:w="0" w:type="dxa"/>
        <w:right w:w="108" w:type="dxa"/>
      </w:tblCellMar>
    </w:tblPr>
  </w:style>
  <w:style w:type="table" w:styleId="TableGrid61825d94-cac5-4bd4-a232-d68352c654cd" w:customStyle="1">
    <w:name w:val="Table Grid_61825d94-cac5-4bd4-a232-d68352c654cd"/>
    <w:basedOn w:val="NormalTable196fa978-d442-4e32-a20e-96eddbabd04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3f142ee1-9170-4645-9cb9-4379efa4adcb" w:customStyle="1">
    <w:name w:val="Normal Table_3f142ee1-9170-4645-9cb9-4379efa4adcb"/>
    <w:uiPriority w:val="99"/>
    <w:semiHidden/>
    <w:unhideWhenUsed/>
    <w:qFormat/>
    <w:tblPr>
      <w:tblInd w:w="0" w:type="dxa"/>
      <w:tblCellMar>
        <w:top w:w="0" w:type="dxa"/>
        <w:left w:w="108" w:type="dxa"/>
        <w:bottom w:w="0" w:type="dxa"/>
        <w:right w:w="108" w:type="dxa"/>
      </w:tblCellMar>
    </w:tblPr>
  </w:style>
  <w:style w:type="table" w:styleId="TableGridb71c6fd7-8478-43e9-99b3-bc907b43e171" w:customStyle="1">
    <w:name w:val="Table Grid_b71c6fd7-8478-43e9-99b3-bc907b43e171"/>
    <w:basedOn w:val="NormalTable3f142ee1-9170-4645-9cb9-4379efa4adc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1c2000d8-6b65-4690-9e3d-51c2126f8ee1" w:customStyle="1">
    <w:name w:val="Normal Table_1c2000d8-6b65-4690-9e3d-51c2126f8ee1"/>
    <w:uiPriority w:val="99"/>
    <w:semiHidden/>
    <w:unhideWhenUsed/>
    <w:qFormat/>
    <w:tblPr>
      <w:tblInd w:w="0" w:type="dxa"/>
      <w:tblCellMar>
        <w:top w:w="0" w:type="dxa"/>
        <w:left w:w="108" w:type="dxa"/>
        <w:bottom w:w="0" w:type="dxa"/>
        <w:right w:w="108" w:type="dxa"/>
      </w:tblCellMar>
    </w:tblPr>
  </w:style>
  <w:style w:type="table" w:styleId="TableGrid0001bcc6-278c-457b-a001-a9777103761d" w:customStyle="1">
    <w:name w:val="Table Grid_0001bcc6-278c-457b-a001-a9777103761d"/>
    <w:basedOn w:val="NormalTable1c2000d8-6b65-4690-9e3d-51c2126f8ee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ef13dff8-9531-4cd5-8b9c-e6a950db69f3" w:customStyle="1">
    <w:name w:val="Normal_ef13dff8-9531-4cd5-8b9c-e6a950db69f3"/>
    <w:qFormat/>
    <w:pPr>
      <w:spacing/>
    </w:pPr>
    <w:rPr>
      <w:rFonts w:ascii="Verdana" w:hAnsi="Verdana" w:eastAsia="Verdana" w:cs="Verdana"/>
      <w:sz w:val="24"/>
    </w:rPr>
  </w:style>
  <w:style w:type="paragraph" w:styleId="TQMDocxPublishingHeaderDocumentInfoStyleNamebf2c55bb-2069-4b4b-b302-3ccdf0106892" w:customStyle="1">
    <w:name w:val="TQM_DocxPublishingHeaderDocumentInfoStyleName_bf2c55bb-2069-4b4b-b302-3ccdf0106892"/>
    <w:basedOn w:val="Normalef13dff8-9531-4cd5-8b9c-e6a950db69f3"/>
    <w:pPr>
      <w:spacing w:after="0" w:line="200" w:lineRule="exact"/>
    </w:pPr>
    <w:rPr>
      <w:rFonts w:ascii="Arial" w:hAnsi="Arial" w:eastAsia="Arial" w:cs="Arial"/>
      <w:sz w:val="14"/>
    </w:rPr>
  </w:style>
  <w:style w:type="table" w:styleId="NormalTable1a36a27c-6d3d-447c-8b3b-12f80327ad9e" w:customStyle="1">
    <w:name w:val="Normal Table_1a36a27c-6d3d-447c-8b3b-12f80327ad9e"/>
    <w:uiPriority w:val="99"/>
    <w:semiHidden/>
    <w:unhideWhenUsed/>
    <w:qFormat/>
    <w:tblPr>
      <w:tblInd w:w="0" w:type="dxa"/>
      <w:tblCellMar>
        <w:top w:w="0" w:type="dxa"/>
        <w:left w:w="108" w:type="dxa"/>
        <w:bottom w:w="0" w:type="dxa"/>
        <w:right w:w="108" w:type="dxa"/>
      </w:tblCellMar>
    </w:tblPr>
  </w:style>
  <w:style w:type="table" w:styleId="TableGridd63bc3b3-cbfc-4ea4-8edf-6c5fd1ca97a0" w:customStyle="1">
    <w:name w:val="Table Grid_d63bc3b3-cbfc-4ea4-8edf-6c5fd1ca97a0"/>
    <w:basedOn w:val="NormalTable1a36a27c-6d3d-447c-8b3b-12f80327ad9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QMDocxPublishingHeaderDocumentIDStyleNameb8e95eb2-0a08-4931-b5e1-6ccd20b01e40" w:customStyle="1">
    <w:name w:val="TQM_DocxPublishingHeaderDocumentIDStyleName_b8e95eb2-0a08-4931-b5e1-6ccd20b01e40"/>
    <w:basedOn w:val="Normalef13dff8-9531-4cd5-8b9c-e6a950db69f3"/>
    <w:pPr>
      <w:spacing w:after="0" w:line="200" w:lineRule="exact"/>
    </w:pPr>
    <w:rPr>
      <w:rFonts w:ascii="Arial" w:hAnsi="Arial" w:eastAsia="Arial" w:cs="Arial"/>
      <w:sz w:val="18"/>
    </w:rPr>
  </w:style>
  <w:style w:type="paragraph" w:styleId="TQMDocxPublishingHeaderDocumentNameStyleName2db83200-ef4b-4cff-98d4-779b729df2a7" w:customStyle="1">
    <w:name w:val="TQM_DocxPublishingHeaderDocumentNameStyleName_2db83200-ef4b-4cff-98d4-779b729df2a7"/>
    <w:basedOn w:val="Normalef13dff8-9531-4cd5-8b9c-e6a950db69f3"/>
    <w:pPr>
      <w:spacing w:after="0" w:line="200" w:lineRule="exact"/>
    </w:pPr>
    <w:rPr>
      <w:rFonts w:ascii="Arial" w:hAnsi="Arial" w:eastAsia="Arial" w:cs="Arial"/>
      <w:b/>
    </w:rPr>
  </w:style>
  <w:style w:type="table" w:styleId="NormalTable70f99873-e753-45e2-a35f-f9595b694086" w:customStyle="1">
    <w:name w:val="Normal Table_70f99873-e753-45e2-a35f-f9595b694086"/>
    <w:uiPriority w:val="99"/>
    <w:semiHidden/>
    <w:unhideWhenUsed/>
    <w:qFormat/>
    <w:tblPr>
      <w:tblInd w:w="0" w:type="dxa"/>
      <w:tblCellMar>
        <w:top w:w="0" w:type="dxa"/>
        <w:left w:w="108" w:type="dxa"/>
        <w:bottom w:w="0" w:type="dxa"/>
        <w:right w:w="108" w:type="dxa"/>
      </w:tblCellMar>
    </w:tblPr>
  </w:style>
  <w:style w:type="table" w:styleId="TableGridd36b1d65-eac1-4b2d-be16-c4287807a58f" w:customStyle="1">
    <w:name w:val="Table Grid_d36b1d65-eac1-4b2d-be16-c4287807a58f"/>
    <w:basedOn w:val="NormalTable70f99873-e753-45e2-a35f-f9595b69408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f5bbef96-63ee-43ac-8fcb-51285bfd35f6" w:customStyle="1">
    <w:name w:val="Normal Table_f5bbef96-63ee-43ac-8fcb-51285bfd35f6"/>
    <w:uiPriority w:val="99"/>
    <w:semiHidden/>
    <w:unhideWhenUsed/>
    <w:qFormat/>
    <w:tblPr>
      <w:tblInd w:w="0" w:type="dxa"/>
      <w:tblCellMar>
        <w:top w:w="0" w:type="dxa"/>
        <w:left w:w="108" w:type="dxa"/>
        <w:bottom w:w="0" w:type="dxa"/>
        <w:right w:w="108" w:type="dxa"/>
      </w:tblCellMar>
    </w:tblPr>
  </w:style>
  <w:style w:type="table" w:styleId="TableGrid5d1171ba-abb2-47cc-a969-e51dcbe555f7" w:customStyle="1">
    <w:name w:val="Table Grid_5d1171ba-abb2-47cc-a969-e51dcbe555f7"/>
    <w:basedOn w:val="NormalTablef5bbef96-63ee-43ac-8fcb-51285bfd35f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23ef4347-b6da-49bd-8d43-7bcd60aa63a9" w:customStyle="1">
    <w:name w:val="Normal Table_23ef4347-b6da-49bd-8d43-7bcd60aa63a9"/>
    <w:uiPriority w:val="99"/>
    <w:semiHidden/>
    <w:unhideWhenUsed/>
    <w:qFormat/>
    <w:tblPr>
      <w:tblInd w:w="0" w:type="dxa"/>
      <w:tblCellMar>
        <w:top w:w="0" w:type="dxa"/>
        <w:left w:w="108" w:type="dxa"/>
        <w:bottom w:w="0" w:type="dxa"/>
        <w:right w:w="108" w:type="dxa"/>
      </w:tblCellMar>
    </w:tblPr>
  </w:style>
  <w:style w:type="table" w:styleId="TableGrid4427e470-7492-4a76-b96e-6d5886899cc3" w:customStyle="1">
    <w:name w:val="Table Grid_4427e470-7492-4a76-b96e-6d5886899cc3"/>
    <w:basedOn w:val="NormalTable23ef4347-b6da-49bd-8d43-7bcd60aa63a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0a681b47-5b36-440f-aaee-f1c513e5b379" w:customStyle="1">
    <w:name w:val="Normal Table_0a681b47-5b36-440f-aaee-f1c513e5b379"/>
    <w:uiPriority w:val="99"/>
    <w:semiHidden/>
    <w:unhideWhenUsed/>
    <w:qFormat/>
    <w:tblPr>
      <w:tblInd w:w="0" w:type="dxa"/>
      <w:tblCellMar>
        <w:top w:w="0" w:type="dxa"/>
        <w:left w:w="108" w:type="dxa"/>
        <w:bottom w:w="0" w:type="dxa"/>
        <w:right w:w="108" w:type="dxa"/>
      </w:tblCellMar>
    </w:tblPr>
  </w:style>
  <w:style w:type="table" w:styleId="TableGridce3ddecd-1757-4e41-a6a8-9b661411fbc9" w:customStyle="1">
    <w:name w:val="Table Grid_ce3ddecd-1757-4e41-a6a8-9b661411fbc9"/>
    <w:basedOn w:val="NormalTable0a681b47-5b36-440f-aaee-f1c513e5b37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545a3bef-3ffc-4fc5-91a0-4e5fc3983c4c" w:customStyle="1">
    <w:name w:val="Normal Table_545a3bef-3ffc-4fc5-91a0-4e5fc3983c4c"/>
    <w:uiPriority w:val="99"/>
    <w:semiHidden/>
    <w:unhideWhenUsed/>
    <w:qFormat/>
    <w:tblPr>
      <w:tblInd w:w="0" w:type="dxa"/>
      <w:tblCellMar>
        <w:top w:w="0" w:type="dxa"/>
        <w:left w:w="108" w:type="dxa"/>
        <w:bottom w:w="0" w:type="dxa"/>
        <w:right w:w="108" w:type="dxa"/>
      </w:tblCellMar>
    </w:tblPr>
  </w:style>
  <w:style w:type="table" w:styleId="TableGrid4a3ebb7a-9b91-4049-86bc-a10149c713b6" w:customStyle="1">
    <w:name w:val="Table Grid_4a3ebb7a-9b91-4049-86bc-a10149c713b6"/>
    <w:basedOn w:val="NormalTable545a3bef-3ffc-4fc5-91a0-4e5fc3983c4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08d1188a-f4a1-4554-925d-32778b158205" w:customStyle="1">
    <w:name w:val="Normal Table_08d1188a-f4a1-4554-925d-32778b158205"/>
    <w:uiPriority w:val="99"/>
    <w:semiHidden/>
    <w:unhideWhenUsed/>
    <w:qFormat/>
    <w:tblPr>
      <w:tblInd w:w="0" w:type="dxa"/>
      <w:tblCellMar>
        <w:top w:w="0" w:type="dxa"/>
        <w:left w:w="108" w:type="dxa"/>
        <w:bottom w:w="0" w:type="dxa"/>
        <w:right w:w="108" w:type="dxa"/>
      </w:tblCellMar>
    </w:tblPr>
  </w:style>
  <w:style w:type="table" w:styleId="TableGrid14713ee5-ee21-4fe1-a209-6f7098d07a59" w:customStyle="1">
    <w:name w:val="Table Grid_14713ee5-ee21-4fe1-a209-6f7098d07a59"/>
    <w:basedOn w:val="NormalTable08d1188a-f4a1-4554-925d-32778b15820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10164707-ff43-4e38-86ae-1c773663d7a7" w:customStyle="1">
    <w:name w:val="Normal Table_10164707-ff43-4e38-86ae-1c773663d7a7"/>
    <w:uiPriority w:val="99"/>
    <w:semiHidden/>
    <w:unhideWhenUsed/>
    <w:qFormat/>
    <w:tblPr>
      <w:tblInd w:w="0" w:type="dxa"/>
      <w:tblCellMar>
        <w:top w:w="0" w:type="dxa"/>
        <w:left w:w="108" w:type="dxa"/>
        <w:bottom w:w="0" w:type="dxa"/>
        <w:right w:w="108" w:type="dxa"/>
      </w:tblCellMar>
    </w:tblPr>
  </w:style>
  <w:style w:type="table" w:styleId="TableGrid02295bab-d030-43a6-a54b-eb090298a853" w:customStyle="1">
    <w:name w:val="Table Grid_02295bab-d030-43a6-a54b-eb090298a853"/>
    <w:basedOn w:val="NormalTable10164707-ff43-4e38-86ae-1c773663d7a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e3171788-6622-4846-aac8-6ac6d60ee5fe" w:customStyle="1">
    <w:name w:val="Normal Table_e3171788-6622-4846-aac8-6ac6d60ee5fe"/>
    <w:uiPriority w:val="99"/>
    <w:semiHidden/>
    <w:unhideWhenUsed/>
    <w:qFormat/>
    <w:tblPr>
      <w:tblInd w:w="0" w:type="dxa"/>
      <w:tblCellMar>
        <w:top w:w="0" w:type="dxa"/>
        <w:left w:w="108" w:type="dxa"/>
        <w:bottom w:w="0" w:type="dxa"/>
        <w:right w:w="108" w:type="dxa"/>
      </w:tblCellMar>
    </w:tblPr>
  </w:style>
  <w:style w:type="table" w:styleId="TableGrid83b6144a-313b-4388-99fd-128a4f861664" w:customStyle="1">
    <w:name w:val="Table Grid_83b6144a-313b-4388-99fd-128a4f861664"/>
    <w:basedOn w:val="NormalTablee3171788-6622-4846-aac8-6ac6d60ee5f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d92adecb-60e4-4086-b342-385487362da9" w:customStyle="1">
    <w:name w:val="Normal Table_d92adecb-60e4-4086-b342-385487362da9"/>
    <w:uiPriority w:val="99"/>
    <w:semiHidden/>
    <w:unhideWhenUsed/>
    <w:qFormat/>
    <w:tblPr>
      <w:tblInd w:w="0" w:type="dxa"/>
      <w:tblCellMar>
        <w:top w:w="0" w:type="dxa"/>
        <w:left w:w="108" w:type="dxa"/>
        <w:bottom w:w="0" w:type="dxa"/>
        <w:right w:w="108" w:type="dxa"/>
      </w:tblCellMar>
    </w:tblPr>
  </w:style>
  <w:style w:type="table" w:styleId="TableGrid2c252e0e-5f7c-4548-9bc1-98c36e3a09e6" w:customStyle="1">
    <w:name w:val="Table Grid_2c252e0e-5f7c-4548-9bc1-98c36e3a09e6"/>
    <w:basedOn w:val="NormalTabled92adecb-60e4-4086-b342-385487362da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d546d81d-f3ae-47a9-9b01-ff3cd26f1645" w:customStyle="1">
    <w:name w:val="Normal_d546d81d-f3ae-47a9-9b01-ff3cd26f1645"/>
    <w:qFormat/>
    <w:pPr>
      <w:spacing/>
    </w:pPr>
    <w:rPr>
      <w:rFonts w:ascii="Verdana" w:hAnsi="Verdana" w:eastAsia="Verdana" w:cs="Verdana"/>
      <w:sz w:val="24"/>
    </w:rPr>
  </w:style>
  <w:style w:type="paragraph" w:styleId="TQMDocxPublishingHeaderDocumentInfoStyleName3434ca8a-0d0f-424e-8ef8-384e11705292" w:customStyle="1">
    <w:name w:val="TQM_DocxPublishingHeaderDocumentInfoStyleName_3434ca8a-0d0f-424e-8ef8-384e11705292"/>
    <w:basedOn w:val="Normald546d81d-f3ae-47a9-9b01-ff3cd26f1645"/>
    <w:pPr>
      <w:spacing w:after="0" w:line="200" w:lineRule="exact"/>
    </w:pPr>
    <w:rPr>
      <w:rFonts w:ascii="Arial" w:hAnsi="Arial" w:eastAsia="Arial" w:cs="Arial"/>
      <w:sz w:val="14"/>
    </w:rPr>
  </w:style>
  <w:style w:type="table" w:styleId="NormalTablec74e37e0-e195-41cf-a201-07cc0ee44b2f" w:customStyle="1">
    <w:name w:val="Normal Table_c74e37e0-e195-41cf-a201-07cc0ee44b2f"/>
    <w:uiPriority w:val="99"/>
    <w:semiHidden/>
    <w:unhideWhenUsed/>
    <w:qFormat/>
    <w:tblPr>
      <w:tblInd w:w="0" w:type="dxa"/>
      <w:tblCellMar>
        <w:top w:w="0" w:type="dxa"/>
        <w:left w:w="108" w:type="dxa"/>
        <w:bottom w:w="0" w:type="dxa"/>
        <w:right w:w="108" w:type="dxa"/>
      </w:tblCellMar>
    </w:tblPr>
  </w:style>
  <w:style w:type="table" w:styleId="TableGrid81a8f938-ff1c-437b-ae95-0b606ac717d2" w:customStyle="1">
    <w:name w:val="Table Grid_81a8f938-ff1c-437b-ae95-0b606ac717d2"/>
    <w:basedOn w:val="NormalTablec74e37e0-e195-41cf-a201-07cc0ee44b2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QMDocxPublishingHeaderDocumentIDStyleName599e67b7-26d2-4567-876c-903fc12ac0db" w:customStyle="1">
    <w:name w:val="TQM_DocxPublishingHeaderDocumentIDStyleName_599e67b7-26d2-4567-876c-903fc12ac0db"/>
    <w:basedOn w:val="Normald546d81d-f3ae-47a9-9b01-ff3cd26f1645"/>
    <w:pPr>
      <w:spacing w:after="0" w:line="200" w:lineRule="exact"/>
    </w:pPr>
    <w:rPr>
      <w:rFonts w:ascii="Arial" w:hAnsi="Arial" w:eastAsia="Arial" w:cs="Arial"/>
      <w:b/>
      <w:sz w:val="18"/>
    </w:rPr>
  </w:style>
  <w:style w:type="paragraph" w:styleId="TQMDocxPublishingHeaderDocumentNameStyleName45d5690b-8b9d-47b7-a8e3-b9763a68e2a3" w:customStyle="1">
    <w:name w:val="TQM_DocxPublishingHeaderDocumentNameStyleName_45d5690b-8b9d-47b7-a8e3-b9763a68e2a3"/>
    <w:basedOn w:val="Normald546d81d-f3ae-47a9-9b01-ff3cd26f1645"/>
    <w:pPr>
      <w:spacing w:after="0" w:line="200" w:lineRule="exact"/>
    </w:pPr>
    <w:rPr>
      <w:rFonts w:ascii="Arial" w:hAnsi="Arial" w:eastAsia="Arial" w:cs="Arial"/>
    </w:rPr>
  </w:style>
  <w:style w:type="table" w:styleId="NormalTable1fdfe47e-80ee-4970-9a35-ad845c92c2b7" w:customStyle="1">
    <w:name w:val="Normal Table_1fdfe47e-80ee-4970-9a35-ad845c92c2b7"/>
    <w:uiPriority w:val="99"/>
    <w:semiHidden/>
    <w:unhideWhenUsed/>
    <w:qFormat/>
    <w:tblPr>
      <w:tblInd w:w="0" w:type="dxa"/>
      <w:tblCellMar>
        <w:top w:w="0" w:type="dxa"/>
        <w:left w:w="108" w:type="dxa"/>
        <w:bottom w:w="0" w:type="dxa"/>
        <w:right w:w="108" w:type="dxa"/>
      </w:tblCellMar>
    </w:tblPr>
  </w:style>
  <w:style w:type="table" w:styleId="TableGrid7b2c400c-4f02-4580-a0ed-a31739ef4b50" w:customStyle="1">
    <w:name w:val="Table Grid_7b2c400c-4f02-4580-a0ed-a31739ef4b50"/>
    <w:basedOn w:val="NormalTable1fdfe47e-80ee-4970-9a35-ad845c92c2b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1d4bc3dd-9c8b-4ec8-81fa-2076a1581f96" w:customStyle="1">
    <w:name w:val="Normal Table_1d4bc3dd-9c8b-4ec8-81fa-2076a1581f96"/>
    <w:uiPriority w:val="99"/>
    <w:semiHidden/>
    <w:unhideWhenUsed/>
    <w:qFormat/>
    <w:tblPr>
      <w:tblInd w:w="0" w:type="dxa"/>
      <w:tblCellMar>
        <w:top w:w="0" w:type="dxa"/>
        <w:left w:w="108" w:type="dxa"/>
        <w:bottom w:w="0" w:type="dxa"/>
        <w:right w:w="108" w:type="dxa"/>
      </w:tblCellMar>
    </w:tblPr>
  </w:style>
  <w:style w:type="table" w:styleId="TableGridba67e4cb-d467-4cd7-a898-780a02801ed2" w:customStyle="1">
    <w:name w:val="Table Grid_ba67e4cb-d467-4cd7-a898-780a02801ed2"/>
    <w:basedOn w:val="NormalTable1d4bc3dd-9c8b-4ec8-81fa-2076a1581f9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ff304ce3-49e9-4e6f-83a4-7bcf7c0b97f4" w:customStyle="1">
    <w:name w:val="Normal Table_ff304ce3-49e9-4e6f-83a4-7bcf7c0b97f4"/>
    <w:uiPriority w:val="99"/>
    <w:semiHidden/>
    <w:unhideWhenUsed/>
    <w:qFormat/>
    <w:tblPr>
      <w:tblInd w:w="0" w:type="dxa"/>
      <w:tblCellMar>
        <w:top w:w="0" w:type="dxa"/>
        <w:left w:w="108" w:type="dxa"/>
        <w:bottom w:w="0" w:type="dxa"/>
        <w:right w:w="108" w:type="dxa"/>
      </w:tblCellMar>
    </w:tblPr>
  </w:style>
  <w:style w:type="table" w:styleId="TableGrid94d3897c-571b-40c6-b278-9f9c7bc93ece" w:customStyle="1">
    <w:name w:val="Table Grid_94d3897c-571b-40c6-b278-9f9c7bc93ece"/>
    <w:basedOn w:val="NormalTableff304ce3-49e9-4e6f-83a4-7bcf7c0b97f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6b8c8465-ac90-404e-8dbc-29ea02f3ccc3" w:customStyle="1">
    <w:name w:val="Normal Table_6b8c8465-ac90-404e-8dbc-29ea02f3ccc3"/>
    <w:uiPriority w:val="99"/>
    <w:semiHidden/>
    <w:unhideWhenUsed/>
    <w:qFormat/>
    <w:tblPr>
      <w:tblInd w:w="0" w:type="dxa"/>
      <w:tblCellMar>
        <w:top w:w="0" w:type="dxa"/>
        <w:left w:w="108" w:type="dxa"/>
        <w:bottom w:w="0" w:type="dxa"/>
        <w:right w:w="108" w:type="dxa"/>
      </w:tblCellMar>
    </w:tblPr>
  </w:style>
  <w:style w:type="table" w:styleId="TableGrid35d51ad7-1c8f-4aeb-9569-d2a6bc4d09cf" w:customStyle="1">
    <w:name w:val="Table Grid_35d51ad7-1c8f-4aeb-9569-d2a6bc4d09cf"/>
    <w:basedOn w:val="NormalTable6b8c8465-ac90-404e-8dbc-29ea02f3ccc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3c4d5cad-c65a-44e5-ab57-cb86a4ba3285" w:customStyle="1">
    <w:name w:val="Normal Table_3c4d5cad-c65a-44e5-ab57-cb86a4ba3285"/>
    <w:uiPriority w:val="99"/>
    <w:semiHidden/>
    <w:unhideWhenUsed/>
    <w:qFormat/>
    <w:tblPr>
      <w:tblInd w:w="0" w:type="dxa"/>
      <w:tblCellMar>
        <w:top w:w="0" w:type="dxa"/>
        <w:left w:w="108" w:type="dxa"/>
        <w:bottom w:w="0" w:type="dxa"/>
        <w:right w:w="108" w:type="dxa"/>
      </w:tblCellMar>
    </w:tblPr>
  </w:style>
  <w:style w:type="table" w:styleId="TableGrid39b8db83-0d1d-4bc9-9f6b-2640547f0133" w:customStyle="1">
    <w:name w:val="Table Grid_39b8db83-0d1d-4bc9-9f6b-2640547f0133"/>
    <w:basedOn w:val="NormalTable3c4d5cad-c65a-44e5-ab57-cb86a4ba328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5c9e7cc9-1a00-49ec-8913-c70f01d4f55c" w:customStyle="1">
    <w:name w:val="Normal Table_5c9e7cc9-1a00-49ec-8913-c70f01d4f55c"/>
    <w:uiPriority w:val="99"/>
    <w:semiHidden/>
    <w:unhideWhenUsed/>
    <w:qFormat/>
    <w:tblPr>
      <w:tblInd w:w="0" w:type="dxa"/>
      <w:tblCellMar>
        <w:top w:w="0" w:type="dxa"/>
        <w:left w:w="108" w:type="dxa"/>
        <w:bottom w:w="0" w:type="dxa"/>
        <w:right w:w="108" w:type="dxa"/>
      </w:tblCellMar>
    </w:tblPr>
  </w:style>
  <w:style w:type="table" w:styleId="TableGride2d9b33b-10d1-4c37-957b-9fd27aa7a689" w:customStyle="1">
    <w:name w:val="Table Grid_e2d9b33b-10d1-4c37-957b-9fd27aa7a689"/>
    <w:basedOn w:val="NormalTable5c9e7cc9-1a00-49ec-8913-c70f01d4f55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fca721cc-b4cf-441f-b6a5-f9eacd751ae0" w:customStyle="1">
    <w:name w:val="Normal Table_fca721cc-b4cf-441f-b6a5-f9eacd751ae0"/>
    <w:uiPriority w:val="99"/>
    <w:semiHidden/>
    <w:unhideWhenUsed/>
    <w:qFormat/>
    <w:tblPr>
      <w:tblInd w:w="0" w:type="dxa"/>
      <w:tblCellMar>
        <w:top w:w="0" w:type="dxa"/>
        <w:left w:w="108" w:type="dxa"/>
        <w:bottom w:w="0" w:type="dxa"/>
        <w:right w:w="108" w:type="dxa"/>
      </w:tblCellMar>
    </w:tblPr>
  </w:style>
  <w:style w:type="table" w:styleId="TableGrid330f274d-87d7-4770-98ce-fed770ce89f2" w:customStyle="1">
    <w:name w:val="Table Grid_330f274d-87d7-4770-98ce-fed770ce89f2"/>
    <w:basedOn w:val="NormalTablefca721cc-b4cf-441f-b6a5-f9eacd751ae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f28bd494-c64f-4113-ad9f-f1d6339c6e50" w:customStyle="1">
    <w:name w:val="Normal Table_f28bd494-c64f-4113-ad9f-f1d6339c6e50"/>
    <w:uiPriority w:val="99"/>
    <w:semiHidden/>
    <w:unhideWhenUsed/>
    <w:qFormat/>
    <w:tblPr>
      <w:tblInd w:w="0" w:type="dxa"/>
      <w:tblCellMar>
        <w:top w:w="0" w:type="dxa"/>
        <w:left w:w="108" w:type="dxa"/>
        <w:bottom w:w="0" w:type="dxa"/>
        <w:right w:w="108" w:type="dxa"/>
      </w:tblCellMar>
    </w:tblPr>
  </w:style>
  <w:style w:type="table" w:styleId="TableGrid079be958-4840-40b2-b8a9-f72e434b463a" w:customStyle="1">
    <w:name w:val="Table Grid_079be958-4840-40b2-b8a9-f72e434b463a"/>
    <w:basedOn w:val="NormalTablef28bd494-c64f-4113-ad9f-f1d6339c6e5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7576af8b-4932-4d2d-b983-05b29350895e" w:customStyle="1">
    <w:name w:val="Normal Table_7576af8b-4932-4d2d-b983-05b29350895e"/>
    <w:uiPriority w:val="99"/>
    <w:semiHidden/>
    <w:unhideWhenUsed/>
    <w:qFormat/>
    <w:tblPr>
      <w:tblInd w:w="0" w:type="dxa"/>
      <w:tblCellMar>
        <w:top w:w="0" w:type="dxa"/>
        <w:left w:w="108" w:type="dxa"/>
        <w:bottom w:w="0" w:type="dxa"/>
        <w:right w:w="108" w:type="dxa"/>
      </w:tblCellMar>
    </w:tblPr>
  </w:style>
  <w:style w:type="table" w:styleId="TableGrid86e80401-9c2f-4005-b331-efc13103e5a2" w:customStyle="1">
    <w:name w:val="Table Grid_86e80401-9c2f-4005-b331-efc13103e5a2"/>
    <w:basedOn w:val="NormalTable7576af8b-4932-4d2d-b983-05b29350895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e07e467b-50e2-4a45-b237-e646337248ca" w:customStyle="1">
    <w:name w:val="Normal Table_e07e467b-50e2-4a45-b237-e646337248ca"/>
    <w:uiPriority w:val="99"/>
    <w:semiHidden/>
    <w:unhideWhenUsed/>
    <w:qFormat/>
    <w:tblPr>
      <w:tblInd w:w="0" w:type="dxa"/>
      <w:tblCellMar>
        <w:top w:w="0" w:type="dxa"/>
        <w:left w:w="108" w:type="dxa"/>
        <w:bottom w:w="0" w:type="dxa"/>
        <w:right w:w="108" w:type="dxa"/>
      </w:tblCellMar>
    </w:tblPr>
  </w:style>
  <w:style w:type="table" w:styleId="TableGrid6bc6c3b0-6070-47b9-9bf5-d0331fae5f60" w:customStyle="1">
    <w:name w:val="Table Grid_6bc6c3b0-6070-47b9-9bf5-d0331fae5f60"/>
    <w:basedOn w:val="NormalTablee07e467b-50e2-4a45-b237-e646337248c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1537570c-4f9d-4899-90f8-f1b55804ab0f" w:customStyle="1">
    <w:name w:val="Normal Table_1537570c-4f9d-4899-90f8-f1b55804ab0f"/>
    <w:uiPriority w:val="99"/>
    <w:semiHidden/>
    <w:unhideWhenUsed/>
    <w:qFormat/>
    <w:tblPr>
      <w:tblInd w:w="0" w:type="dxa"/>
      <w:tblCellMar>
        <w:top w:w="0" w:type="dxa"/>
        <w:left w:w="108" w:type="dxa"/>
        <w:bottom w:w="0" w:type="dxa"/>
        <w:right w:w="108" w:type="dxa"/>
      </w:tblCellMar>
    </w:tblPr>
  </w:style>
  <w:style w:type="table" w:styleId="TableGride32d072e-9f06-4863-bdde-43cc654d5c49" w:customStyle="1">
    <w:name w:val="Table Grid_e32d072e-9f06-4863-bdde-43cc654d5c49"/>
    <w:basedOn w:val="NormalTable1537570c-4f9d-4899-90f8-f1b55804ab0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b71de358-258c-4c84-9a87-8ff9b35e7abd" w:customStyle="1">
    <w:name w:val="Normal Table_b71de358-258c-4c84-9a87-8ff9b35e7abd"/>
    <w:uiPriority w:val="99"/>
    <w:semiHidden/>
    <w:unhideWhenUsed/>
    <w:qFormat/>
    <w:tblPr>
      <w:tblInd w:w="0" w:type="dxa"/>
      <w:tblCellMar>
        <w:top w:w="0" w:type="dxa"/>
        <w:left w:w="108" w:type="dxa"/>
        <w:bottom w:w="0" w:type="dxa"/>
        <w:right w:w="108" w:type="dxa"/>
      </w:tblCellMar>
    </w:tblPr>
  </w:style>
  <w:style w:type="table" w:styleId="TableGride6d9b68d-21f4-4f57-a151-437361dfda9c" w:customStyle="1">
    <w:name w:val="Table Grid_e6d9b68d-21f4-4f57-a151-437361dfda9c"/>
    <w:basedOn w:val="NormalTableb71de358-258c-4c84-9a87-8ff9b35e7ab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724cca12-215e-4b8a-9a03-4e6856f3a759" w:customStyle="1">
    <w:name w:val="Normal Table_724cca12-215e-4b8a-9a03-4e6856f3a759"/>
    <w:uiPriority w:val="99"/>
    <w:semiHidden/>
    <w:unhideWhenUsed/>
    <w:qFormat/>
    <w:tblPr>
      <w:tblInd w:w="0" w:type="dxa"/>
      <w:tblCellMar>
        <w:top w:w="0" w:type="dxa"/>
        <w:left w:w="108" w:type="dxa"/>
        <w:bottom w:w="0" w:type="dxa"/>
        <w:right w:w="108" w:type="dxa"/>
      </w:tblCellMar>
    </w:tblPr>
  </w:style>
  <w:style w:type="table" w:styleId="TableGrid5e1ed0cd-4cef-4575-aeb8-9e063a58eec8" w:customStyle="1">
    <w:name w:val="Table Grid_5e1ed0cd-4cef-4575-aeb8-9e063a58eec8"/>
    <w:basedOn w:val="NormalTable724cca12-215e-4b8a-9a03-4e6856f3a7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_ad510f31-9c08-4e01-a609-1591578695e7" w:customStyle="1">
    <w:name w:val="Normal_ad510f31-9c08-4e01-a609-1591578695e7"/>
    <w:qFormat/>
    <w:pPr>
      <w:pBdr/>
      <w:spacing/>
      <w:ind w:left="0" w:right="0" w:firstLine="0"/>
    </w:pPr>
    <w:rPr>
      <w:rFonts w:ascii="Verdana" w:hAnsi="Verdana" w:eastAsia="Verdana" w:cs="Verdana"/>
      <w:sz w:val="24"/>
    </w:rPr>
  </w:style>
  <w:style w:type="paragraph" w:styleId="TQM_DocxPublishingHeaderDocumentInfoStyleName_015032e2-b80b-4850-832c-9e420860bed6" w:customStyle="1">
    <w:name w:val="TQM_DocxPublishingHeaderDocumentInfoStyleName_015032e2-b80b-4850-832c-9e420860bed6"/>
    <w:basedOn w:val="Normal_ad510f31-9c08-4e01-a609-1591578695e7"/>
    <w:pPr>
      <w:pBdr/>
      <w:spacing w:before="0" w:after="0" w:line="200" w:lineRule="exact"/>
      <w:ind w:left="0" w:right="0" w:firstLine="0"/>
    </w:pPr>
    <w:rPr>
      <w:rFonts w:ascii="Arial" w:hAnsi="Arial" w:eastAsia="Arial" w:cs="Arial"/>
      <w:sz w:val="14"/>
    </w:rPr>
  </w:style>
  <w:style w:type="table" w:styleId="NormalTable_be0ea4c9-b50d-4d9d-b36b-0a99ecb64880" w:customStyle="1">
    <w:name w:val="Normal Table_be0ea4c9-b50d-4d9d-b36b-0a99ecb64880"/>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d75bb57a-c5c5-439b-bc54-0e627e62d0ba" w:customStyle="1">
    <w:name w:val="Table Grid_d75bb57a-c5c5-439b-bc54-0e627e62d0ba"/>
    <w:basedOn w:val="NormalTable_be0ea4c9-b50d-4d9d-b36b-0a99ecb64880"/>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paragraph" w:styleId="TQM_DocxPublishingHeaderDocumentIDStyleName_0a401077-a2ab-43d1-ab0e-22189d8e8dfa" w:customStyle="1">
    <w:name w:val="TQM_DocxPublishingHeaderDocumentIDStyleName_0a401077-a2ab-43d1-ab0e-22189d8e8dfa"/>
    <w:basedOn w:val="Normal_ad510f31-9c08-4e01-a609-1591578695e7"/>
    <w:pPr>
      <w:pBdr/>
      <w:spacing w:before="0" w:after="0" w:line="200" w:lineRule="exact"/>
      <w:ind w:left="0" w:right="0" w:firstLine="0"/>
    </w:pPr>
    <w:rPr>
      <w:rFonts w:ascii="Arial" w:hAnsi="Arial" w:eastAsia="Arial" w:cs="Arial"/>
      <w:b/>
      <w:sz w:val="18"/>
    </w:rPr>
  </w:style>
  <w:style w:type="paragraph" w:styleId="TQM_DocxPublishingHeaderDocumentNameStyleName_3e87ac21-077e-4ba3-95cc-a55579e22739" w:customStyle="1">
    <w:name w:val="TQM_DocxPublishingHeaderDocumentNameStyleName_3e87ac21-077e-4ba3-95cc-a55579e22739"/>
    <w:basedOn w:val="Normal_ad510f31-9c08-4e01-a609-1591578695e7"/>
    <w:pPr>
      <w:pBdr/>
      <w:spacing w:before="0" w:after="0" w:line="200" w:lineRule="exact"/>
      <w:ind w:left="0" w:right="0" w:firstLine="0"/>
    </w:pPr>
    <w:rPr>
      <w:rFonts w:ascii="Arial" w:hAnsi="Arial" w:eastAsia="Arial" w:cs="Arial"/>
      <w:sz w:val="24"/>
    </w:rPr>
  </w:style>
  <w:style w:type="table" w:styleId="NormalTable_4391e2da-2546-41f8-89f6-008f76408b40" w:customStyle="1">
    <w:name w:val="Normal Table_4391e2da-2546-41f8-89f6-008f76408b40"/>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57b32e2a-12d2-4b9e-b4c5-8d37fc5ae6bf" w:customStyle="1">
    <w:name w:val="Table Grid_57b32e2a-12d2-4b9e-b4c5-8d37fc5ae6bf"/>
    <w:basedOn w:val="NormalTable_4391e2da-2546-41f8-89f6-008f76408b40"/>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34dfcddf-f1b0-4024-803e-4a77299c5914" w:customStyle="1">
    <w:name w:val="Normal Table_34dfcddf-f1b0-4024-803e-4a77299c5914"/>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b14c6b4a-89e9-4028-9a39-db0b7be76af5" w:customStyle="1">
    <w:name w:val="Table Grid_b14c6b4a-89e9-4028-9a39-db0b7be76af5"/>
    <w:basedOn w:val="NormalTable_34dfcddf-f1b0-4024-803e-4a77299c5914"/>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3303624d-63d3-4b06-8764-53c0632a5abb" w:customStyle="1">
    <w:name w:val="Normal Table_3303624d-63d3-4b06-8764-53c0632a5abb"/>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a1701944-3f8c-4daf-9183-d59d87b5486d" w:customStyle="1">
    <w:name w:val="Table Grid_a1701944-3f8c-4daf-9183-d59d87b5486d"/>
    <w:basedOn w:val="NormalTable_3303624d-63d3-4b06-8764-53c0632a5abb"/>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9cb922b7-de4d-48eb-9aa7-7e5ccbdb4046" w:customStyle="1">
    <w:name w:val="Normal Table_9cb922b7-de4d-48eb-9aa7-7e5ccbdb4046"/>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0ca03789-8758-40a8-aa42-7aa9df387fc5" w:customStyle="1">
    <w:name w:val="Table Grid_0ca03789-8758-40a8-aa42-7aa9df387fc5"/>
    <w:basedOn w:val="NormalTable_9cb922b7-de4d-48eb-9aa7-7e5ccbdb4046"/>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3268410d-d483-4493-92b4-9b37200161a3" w:customStyle="1">
    <w:name w:val="Normal Table_3268410d-d483-4493-92b4-9b37200161a3"/>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0baed1ce-a57f-47c1-a063-6a2daabd68a9" w:customStyle="1">
    <w:name w:val="Table Grid_0baed1ce-a57f-47c1-a063-6a2daabd68a9"/>
    <w:basedOn w:val="NormalTable_3268410d-d483-4493-92b4-9b37200161a3"/>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b10849a7-98ca-474a-9df6-33393cf98cba" w:customStyle="1">
    <w:name w:val="Normal Table_b10849a7-98ca-474a-9df6-33393cf98cba"/>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319d409e-9bda-459d-8c23-22450692023a" w:customStyle="1">
    <w:name w:val="Table Grid_319d409e-9bda-459d-8c23-22450692023a"/>
    <w:basedOn w:val="NormalTable_b10849a7-98ca-474a-9df6-33393cf98cba"/>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ca354757-cddf-4ddb-a15e-1696c6c50512" w:customStyle="1">
    <w:name w:val="Normal Table_ca354757-cddf-4ddb-a15e-1696c6c50512"/>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6aead81a-a110-4958-8eb8-2fa9574c9af1" w:customStyle="1">
    <w:name w:val="Table Grid_6aead81a-a110-4958-8eb8-2fa9574c9af1"/>
    <w:basedOn w:val="NormalTable_ca354757-cddf-4ddb-a15e-1696c6c50512"/>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a07e311c-83e4-4b9c-b770-a7b9663e4a7d" w:customStyle="1">
    <w:name w:val="Normal Table_a07e311c-83e4-4b9c-b770-a7b9663e4a7d"/>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97d5faba-07c7-4b78-9e4c-a13eb6029963" w:customStyle="1">
    <w:name w:val="Table Grid_97d5faba-07c7-4b78-9e4c-a13eb6029963"/>
    <w:basedOn w:val="NormalTable_a07e311c-83e4-4b9c-b770-a7b9663e4a7d"/>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07c47dad-6496-4e4e-857d-21808dd1a95d" w:customStyle="1">
    <w:name w:val="Normal Table_07c47dad-6496-4e4e-857d-21808dd1a95d"/>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057023e7-1267-420b-b177-d985895e67b3" w:customStyle="1">
    <w:name w:val="Table Grid_057023e7-1267-420b-b177-d985895e67b3"/>
    <w:basedOn w:val="NormalTable_07c47dad-6496-4e4e-857d-21808dd1a95d"/>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ea280e76-a308-49f2-a1ab-5273b507b352" w:customStyle="1">
    <w:name w:val="Normal Table_ea280e76-a308-49f2-a1ab-5273b507b352"/>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010f432d-f3bb-4bd1-8d32-0e23d2cb9fdc" w:customStyle="1">
    <w:name w:val="Table Grid_010f432d-f3bb-4bd1-8d32-0e23d2cb9fdc"/>
    <w:basedOn w:val="NormalTable_ea280e76-a308-49f2-a1ab-5273b507b352"/>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2b8d410b-3eba-455f-b723-78fbf4636762" w:customStyle="1">
    <w:name w:val="Normal Table_2b8d410b-3eba-455f-b723-78fbf4636762"/>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596c2b77-0f79-410d-a9db-f2ae3da12748" w:customStyle="1">
    <w:name w:val="Table Grid_596c2b77-0f79-410d-a9db-f2ae3da12748"/>
    <w:basedOn w:val="NormalTable_2b8d410b-3eba-455f-b723-78fbf4636762"/>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bdebd8a6-350e-4db1-b369-0009dde4ec29" w:customStyle="1">
    <w:name w:val="Normal Table_bdebd8a6-350e-4db1-b369-0009dde4ec29"/>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490986bb-a884-40cc-99fc-ddc203c7df04" w:customStyle="1">
    <w:name w:val="Table Grid_490986bb-a884-40cc-99fc-ddc203c7df04"/>
    <w:basedOn w:val="NormalTable_bdebd8a6-350e-4db1-b369-0009dde4ec29"/>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3df6fad0-97f6-41d2-9911-06fcf060c0cc" w:customStyle="1">
    <w:name w:val="Normal Table_3df6fad0-97f6-41d2-9911-06fcf060c0cc"/>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5b3da9eb-4bd8-4ae0-8d72-7e6f7bf84102" w:customStyle="1">
    <w:name w:val="Table Grid_5b3da9eb-4bd8-4ae0-8d72-7e6f7bf84102"/>
    <w:basedOn w:val="NormalTable_3df6fad0-97f6-41d2-9911-06fcf060c0cc"/>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s>
</file>

<file path=word/_rels/document.xml.rels>&#65279;<?xml version="1.0" encoding="utf-8" standalone="yes"?><Relationships xmlns="http://schemas.openxmlformats.org/package/2006/relationships"><Relationship Id="rId6" Type="http://schemas.openxmlformats.org/officeDocument/2006/relationships/styles" Target="styles.xml" /><Relationship Id="rId7" Type="http://schemas.openxmlformats.org/officeDocument/2006/relationships/settings" Target="settings.xml" /><Relationship Id="rId8" Type="http://schemas.openxmlformats.org/officeDocument/2006/relationships/theme" Target="theme/theme1.xml" /><Relationship Id="rId1" Type="http://schemas.openxmlformats.org/officeDocument/2006/relationships/header" Target="header1.xml" /><Relationship Id="rId3" Type="http://schemas.openxmlformats.org/officeDocument/2006/relationships/footer" Target="footer3.xml" /><Relationship Id="rId2" Type="http://schemas.openxmlformats.org/officeDocument/2006/relationships/header" Target="header2.xml" /><Relationship Id="rId9" Type="http://schemas.openxmlformats.org/officeDocument/2006/relationships/fontTable" Target="fontTable.xml" /></Relationships>
</file>

<file path=word/_rels/header1.xml.rels>&#65279;<?xml version="1.0" encoding="utf-8" standalone="yes"?><Relationships xmlns="http://schemas.openxmlformats.org/package/2006/relationships"><Relationship Id="rId4" Type="http://schemas.openxmlformats.org/officeDocument/2006/relationships/image" Target="media/image1.png" /></Relationships>
</file>

<file path=word/_rels/header2.xml.rels>&#65279;<?xml version="1.0" encoding="utf-8" standalone="yes"?><Relationships xmlns="http://schemas.openxmlformats.org/package/2006/relationships"><Relationship Id="rId5"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panose="02110004020202020204"/>
        <a:cs typeface="" panose="0211000402020202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panose="02110004020202020204"/>
        <a:cs typeface="" panose="02110004020202020204"/>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xmlns:a="http://schemas.openxmlformats.org/drawingml/2006/main">
    <a:lnDef>
      <a:spPr/>
      <a:bodyPr/>
      <a:lstStyle/>
      <a:style>
        <a:lnRef idx="1">
          <a:schemeClr val="accent1"/>
        </a:lnRef>
        <a:fillRef idx="0">
          <a:schemeClr val="accent1"/>
        </a:fillRef>
        <a:effectRef idx="0">
          <a:schemeClr val="accent1"/>
        </a:effectRef>
        <a:fontRef idx="minor">
          <a:schemeClr val="tx1"/>
        </a:fontRef>
      </a:style>
    </a:lnDef>
  </a:objectDefaults>
  <a:extraClrSchemeLst xmlns:a="http://schemas.openxmlformats.org/drawingml/2006/main"/>
  <a:extLst xmlns:a="http://schemas.openxmlformats.org/drawingml/2006/main">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5</TotalTime>
  <Pages>6</Pages>
  <Words>2588</Words>
  <Characters>13717</Characters>
  <Application>Microsoft Office Word</Application>
  <DocSecurity>4</DocSecurity>
  <Lines>114</Lines>
  <Paragraphs>32</Paragraphs>
  <Company/>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Tonje Martinsen</dc:creator>
  <cp:keywords/>
  <dc:description/>
  <cp:lastModifiedBy>Tonje Martinsen</cp:lastModifiedBy>
  <cp:revision>2</cp:revision>
  <dcterms:created xsi:type="dcterms:W3CDTF">2026-08-28T08:26:00Z</dcterms:created>
  <dcterms:modified xsi:type="dcterms:W3CDTF">2026-08-28T08:26:00Z</dcterms:modified>
</cp:coreProperties>
</file>